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1289D" w14:textId="24B29DD0" w:rsidR="006C2F44" w:rsidRDefault="00A1366E" w:rsidP="00711504">
      <w:pPr>
        <w:pStyle w:val="BodyText"/>
        <w:spacing w:line="276" w:lineRule="auto"/>
        <w:rPr>
          <w:color w:val="000000"/>
          <w:sz w:val="20"/>
        </w:rPr>
      </w:pPr>
      <w:r>
        <w:rPr>
          <w:color w:val="000000"/>
          <w:sz w:val="20"/>
        </w:rPr>
        <w:fldChar w:fldCharType="begin"/>
      </w:r>
      <w:r>
        <w:rPr>
          <w:color w:val="000000"/>
          <w:sz w:val="20"/>
        </w:rPr>
        <w:instrText xml:space="preserve"> DATE \@ "MMMM d, yyyy" </w:instrText>
      </w:r>
      <w:r>
        <w:rPr>
          <w:color w:val="000000"/>
          <w:sz w:val="20"/>
        </w:rPr>
        <w:fldChar w:fldCharType="separate"/>
      </w:r>
      <w:r w:rsidR="001C0105">
        <w:rPr>
          <w:noProof/>
          <w:color w:val="000000"/>
          <w:sz w:val="20"/>
        </w:rPr>
        <w:t>March 26, 2024</w:t>
      </w:r>
      <w:r>
        <w:rPr>
          <w:color w:val="000000"/>
          <w:sz w:val="20"/>
        </w:rPr>
        <w:fldChar w:fldCharType="end"/>
      </w:r>
    </w:p>
    <w:p w14:paraId="1B3FF8C3" w14:textId="77777777" w:rsidR="00A1366E" w:rsidRDefault="00A1366E" w:rsidP="00711504">
      <w:pPr>
        <w:pStyle w:val="BodyText"/>
        <w:spacing w:line="276" w:lineRule="auto"/>
        <w:rPr>
          <w:color w:val="000000"/>
          <w:sz w:val="20"/>
        </w:rPr>
      </w:pPr>
    </w:p>
    <w:p w14:paraId="00370FA2" w14:textId="77777777" w:rsidR="006C2F44" w:rsidRPr="001752A2" w:rsidRDefault="006C2F44" w:rsidP="00711504">
      <w:pPr>
        <w:pStyle w:val="BodyText"/>
        <w:spacing w:line="276" w:lineRule="auto"/>
        <w:rPr>
          <w:color w:val="000000"/>
          <w:sz w:val="20"/>
        </w:rPr>
      </w:pPr>
      <w:r w:rsidRPr="001752A2">
        <w:rPr>
          <w:color w:val="000000"/>
          <w:sz w:val="20"/>
        </w:rPr>
        <w:t>To Whom It May Concern:</w:t>
      </w:r>
    </w:p>
    <w:p w14:paraId="5B5F7591" w14:textId="3C8A343D" w:rsidR="00711504" w:rsidRPr="009B7B8D" w:rsidRDefault="00711504" w:rsidP="00711504">
      <w:pPr>
        <w:pStyle w:val="BodyText"/>
        <w:spacing w:line="276" w:lineRule="auto"/>
        <w:rPr>
          <w:color w:val="000000"/>
          <w:sz w:val="20"/>
        </w:rPr>
      </w:pPr>
      <w:r w:rsidRPr="001752A2">
        <w:rPr>
          <w:color w:val="000000"/>
          <w:sz w:val="20"/>
        </w:rPr>
        <w:t>CollegeSource</w:t>
      </w:r>
      <w:r w:rsidRPr="009C533E">
        <w:rPr>
          <w:color w:val="000000"/>
          <w:sz w:val="20"/>
          <w:vertAlign w:val="superscript"/>
        </w:rPr>
        <w:t>®</w:t>
      </w:r>
      <w:r w:rsidRPr="001752A2">
        <w:rPr>
          <w:color w:val="000000"/>
          <w:sz w:val="20"/>
        </w:rPr>
        <w:t xml:space="preserve"> is the first and the only comprehensive collection of college catalogs worldwide. No other institution or company has a database that is comparable to the more than </w:t>
      </w:r>
      <w:r w:rsidRPr="009B7B8D">
        <w:rPr>
          <w:color w:val="000000"/>
          <w:sz w:val="20"/>
        </w:rPr>
        <w:t>1</w:t>
      </w:r>
      <w:r w:rsidR="00AF29BC">
        <w:rPr>
          <w:color w:val="000000"/>
          <w:sz w:val="20"/>
        </w:rPr>
        <w:t>8</w:t>
      </w:r>
      <w:r w:rsidR="001C0105">
        <w:rPr>
          <w:color w:val="000000"/>
          <w:sz w:val="20"/>
        </w:rPr>
        <w:t>6</w:t>
      </w:r>
      <w:r w:rsidR="004146B7" w:rsidRPr="009B7B8D">
        <w:rPr>
          <w:color w:val="000000"/>
          <w:sz w:val="20"/>
        </w:rPr>
        <w:t>,000</w:t>
      </w:r>
      <w:r w:rsidRPr="009B7B8D">
        <w:rPr>
          <w:color w:val="000000"/>
          <w:sz w:val="20"/>
        </w:rPr>
        <w:t xml:space="preserve"> catalogs and </w:t>
      </w:r>
      <w:r w:rsidR="00722B35">
        <w:rPr>
          <w:color w:val="000000"/>
          <w:sz w:val="20"/>
        </w:rPr>
        <w:t>over 1</w:t>
      </w:r>
      <w:r w:rsidR="00AF29BC">
        <w:rPr>
          <w:color w:val="000000"/>
          <w:sz w:val="20"/>
        </w:rPr>
        <w:t>5</w:t>
      </w:r>
      <w:r w:rsidR="001C0105">
        <w:rPr>
          <w:color w:val="000000"/>
          <w:sz w:val="20"/>
        </w:rPr>
        <w:t>7.8</w:t>
      </w:r>
      <w:r w:rsidR="00004D59" w:rsidRPr="009B7B8D">
        <w:rPr>
          <w:color w:val="000000"/>
          <w:sz w:val="20"/>
        </w:rPr>
        <w:t xml:space="preserve"> </w:t>
      </w:r>
      <w:r w:rsidRPr="009B7B8D">
        <w:rPr>
          <w:color w:val="000000"/>
          <w:sz w:val="20"/>
        </w:rPr>
        <w:t>million course descriptions contained in the CollegeSource holdings</w:t>
      </w:r>
      <w:r w:rsidR="00AF29BC">
        <w:rPr>
          <w:color w:val="000000"/>
          <w:sz w:val="20"/>
        </w:rPr>
        <w:t>.</w:t>
      </w:r>
    </w:p>
    <w:p w14:paraId="3EB198EF" w14:textId="112C5C9E" w:rsidR="00FB2E89" w:rsidRDefault="00711504" w:rsidP="00FB2E89">
      <w:pPr>
        <w:pStyle w:val="BodyText"/>
        <w:spacing w:line="276" w:lineRule="auto"/>
        <w:rPr>
          <w:color w:val="000000"/>
          <w:sz w:val="20"/>
        </w:rPr>
      </w:pPr>
      <w:r w:rsidRPr="001752A2">
        <w:rPr>
          <w:color w:val="000000"/>
          <w:sz w:val="20"/>
        </w:rPr>
        <w:t>Built on this unique database, TES</w:t>
      </w:r>
      <w:r w:rsidRPr="009C533E">
        <w:rPr>
          <w:color w:val="000000"/>
          <w:sz w:val="20"/>
          <w:vertAlign w:val="superscript"/>
        </w:rPr>
        <w:t>®</w:t>
      </w:r>
      <w:r w:rsidR="001C0105">
        <w:rPr>
          <w:color w:val="000000"/>
          <w:sz w:val="20"/>
        </w:rPr>
        <w:t>, the Transfer Evaluation System from CollegeSource,</w:t>
      </w:r>
      <w:r w:rsidRPr="001752A2">
        <w:rPr>
          <w:color w:val="000000"/>
          <w:sz w:val="20"/>
        </w:rPr>
        <w:t xml:space="preserve"> is also unique. </w:t>
      </w:r>
      <w:r w:rsidR="001752A2" w:rsidRPr="001752A2">
        <w:rPr>
          <w:color w:val="000000"/>
          <w:sz w:val="20"/>
        </w:rPr>
        <w:t xml:space="preserve">TES is a hosted Software-as-a-Service (SaaS) used by nearly two thousand campuses of higher education nationwide to research and evaluate transfer credit from other institutions and create equivalencies that apply to future students. </w:t>
      </w:r>
    </w:p>
    <w:p w14:paraId="788C66AD" w14:textId="49DE5B2D" w:rsidR="001752A2" w:rsidRPr="001752A2" w:rsidRDefault="00FB2E89" w:rsidP="00FB2E89">
      <w:pPr>
        <w:pStyle w:val="BodyText"/>
        <w:spacing w:line="276" w:lineRule="auto"/>
        <w:rPr>
          <w:color w:val="000000"/>
          <w:sz w:val="20"/>
        </w:rPr>
      </w:pPr>
      <w:r w:rsidRPr="001752A2">
        <w:rPr>
          <w:color w:val="000000"/>
          <w:sz w:val="20"/>
        </w:rPr>
        <w:t xml:space="preserve">CollegeSource, Inc. is the sole-source provider of the CollegeSource database </w:t>
      </w:r>
      <w:r w:rsidR="009C533E">
        <w:rPr>
          <w:color w:val="000000"/>
          <w:sz w:val="20"/>
        </w:rPr>
        <w:t>which gives</w:t>
      </w:r>
      <w:r w:rsidRPr="001752A2">
        <w:rPr>
          <w:color w:val="000000"/>
          <w:sz w:val="20"/>
        </w:rPr>
        <w:t xml:space="preserve"> TES </w:t>
      </w:r>
      <w:r w:rsidR="009C533E">
        <w:rPr>
          <w:color w:val="000000"/>
          <w:sz w:val="20"/>
        </w:rPr>
        <w:t>unique access to</w:t>
      </w:r>
      <w:r w:rsidRPr="001752A2">
        <w:rPr>
          <w:color w:val="000000"/>
          <w:sz w:val="20"/>
        </w:rPr>
        <w:t xml:space="preserve"> interface with this database.</w:t>
      </w:r>
      <w:r>
        <w:rPr>
          <w:color w:val="000000"/>
          <w:sz w:val="20"/>
        </w:rPr>
        <w:t xml:space="preserve"> </w:t>
      </w:r>
      <w:r w:rsidRPr="005B1433">
        <w:rPr>
          <w:color w:val="000000"/>
          <w:sz w:val="20"/>
        </w:rPr>
        <w:t>TES is alone</w:t>
      </w:r>
      <w:r w:rsidR="009C533E">
        <w:rPr>
          <w:color w:val="000000"/>
          <w:sz w:val="20"/>
        </w:rPr>
        <w:t xml:space="preserve"> </w:t>
      </w:r>
      <w:r w:rsidRPr="005B1433">
        <w:rPr>
          <w:color w:val="000000"/>
          <w:sz w:val="20"/>
        </w:rPr>
        <w:t xml:space="preserve">in its ability to compare any two catalogs (from the same institution) and return all the changes between one edition and the next in great detail or (from different institutions) return potential equivalencies to the screen within seconds! </w:t>
      </w:r>
    </w:p>
    <w:p w14:paraId="723DE3AA" w14:textId="6EC67DD2" w:rsidR="001752A2" w:rsidRDefault="008B665D" w:rsidP="001752A2">
      <w:pPr>
        <w:pStyle w:val="BodyText"/>
        <w:spacing w:line="276" w:lineRule="auto"/>
        <w:rPr>
          <w:color w:val="000000"/>
          <w:sz w:val="20"/>
        </w:rPr>
      </w:pPr>
      <w:r w:rsidRPr="001752A2">
        <w:rPr>
          <w:color w:val="000000"/>
          <w:sz w:val="20"/>
        </w:rPr>
        <w:t xml:space="preserve">If you desire additional information, please do not hesitate to contact us at any time or visit our website at </w:t>
      </w:r>
      <w:hyperlink r:id="rId8" w:history="1">
        <w:r w:rsidRPr="001752A2">
          <w:rPr>
            <w:color w:val="000000"/>
            <w:sz w:val="20"/>
          </w:rPr>
          <w:t>www.collegesource.com</w:t>
        </w:r>
      </w:hyperlink>
      <w:r w:rsidRPr="001752A2">
        <w:rPr>
          <w:color w:val="000000"/>
          <w:sz w:val="20"/>
        </w:rPr>
        <w:t>. Thank you for your interest in our products.</w:t>
      </w:r>
    </w:p>
    <w:p w14:paraId="6A78CB57" w14:textId="77777777" w:rsidR="001752A2" w:rsidRDefault="001752A2" w:rsidP="001752A2">
      <w:pPr>
        <w:pStyle w:val="BodyText"/>
        <w:spacing w:after="0" w:line="276" w:lineRule="auto"/>
        <w:rPr>
          <w:color w:val="000000"/>
          <w:sz w:val="20"/>
        </w:rPr>
      </w:pPr>
    </w:p>
    <w:p w14:paraId="0F565E85" w14:textId="0452980B" w:rsidR="001752A2" w:rsidRDefault="001752A2" w:rsidP="001752A2">
      <w:pPr>
        <w:pStyle w:val="BodyText"/>
        <w:spacing w:after="0" w:line="276" w:lineRule="auto"/>
        <w:rPr>
          <w:color w:val="000000"/>
          <w:sz w:val="20"/>
        </w:rPr>
      </w:pPr>
      <w:r w:rsidRPr="001752A2">
        <w:rPr>
          <w:color w:val="000000"/>
          <w:sz w:val="20"/>
        </w:rPr>
        <w:t xml:space="preserve">Sincerely, </w:t>
      </w:r>
    </w:p>
    <w:p w14:paraId="4D48FE5A" w14:textId="77777777" w:rsidR="001752A2" w:rsidRPr="001752A2" w:rsidRDefault="001752A2" w:rsidP="001752A2">
      <w:pPr>
        <w:pStyle w:val="BodyText"/>
        <w:spacing w:after="0" w:line="276" w:lineRule="auto"/>
        <w:rPr>
          <w:color w:val="000000"/>
          <w:sz w:val="20"/>
        </w:rPr>
      </w:pPr>
    </w:p>
    <w:p w14:paraId="7F74BA9A" w14:textId="77777777" w:rsidR="001752A2" w:rsidRPr="001752A2" w:rsidRDefault="001752A2" w:rsidP="001752A2">
      <w:pPr>
        <w:pStyle w:val="BodyText"/>
        <w:spacing w:after="0" w:line="276" w:lineRule="auto"/>
        <w:rPr>
          <w:color w:val="000000"/>
          <w:sz w:val="20"/>
        </w:rPr>
      </w:pPr>
      <w:r w:rsidRPr="001752A2">
        <w:rPr>
          <w:color w:val="000000"/>
          <w:sz w:val="20"/>
        </w:rPr>
        <w:t>Alanna Fenton-Esquinas</w:t>
      </w:r>
    </w:p>
    <w:p w14:paraId="5FE6DB44" w14:textId="067AA632" w:rsidR="001752A2" w:rsidRPr="001752A2" w:rsidRDefault="0063353B" w:rsidP="001752A2">
      <w:pPr>
        <w:pStyle w:val="BodyText"/>
        <w:spacing w:after="0" w:line="276" w:lineRule="auto"/>
        <w:rPr>
          <w:color w:val="000000"/>
          <w:sz w:val="20"/>
        </w:rPr>
      </w:pPr>
      <w:r w:rsidRPr="009E01BF">
        <w:rPr>
          <w:color w:val="000000"/>
          <w:sz w:val="20"/>
        </w:rPr>
        <w:t>VP of Sales and Marketing</w:t>
      </w:r>
      <w:r w:rsidRPr="001752A2">
        <w:rPr>
          <w:color w:val="000000"/>
          <w:sz w:val="20"/>
        </w:rPr>
        <w:t xml:space="preserve"> </w:t>
      </w:r>
      <w:r>
        <w:rPr>
          <w:color w:val="000000"/>
          <w:sz w:val="20"/>
        </w:rPr>
        <w:br/>
      </w:r>
      <w:r w:rsidR="001752A2" w:rsidRPr="001752A2">
        <w:rPr>
          <w:color w:val="000000"/>
          <w:sz w:val="20"/>
        </w:rPr>
        <w:t>CollegeSource</w:t>
      </w:r>
      <w:r w:rsidR="001752A2" w:rsidRPr="001752A2">
        <w:rPr>
          <w:b/>
          <w:color w:val="000000"/>
          <w:sz w:val="20"/>
        </w:rPr>
        <w:br w:type="page"/>
      </w:r>
    </w:p>
    <w:p w14:paraId="5CE20673" w14:textId="77777777" w:rsidR="001752A2" w:rsidRDefault="001752A2" w:rsidP="001752A2">
      <w:pPr>
        <w:spacing w:line="276" w:lineRule="auto"/>
        <w:jc w:val="center"/>
        <w:rPr>
          <w:rFonts w:cs="Arial"/>
          <w:b/>
          <w:color w:val="000000"/>
          <w:sz w:val="24"/>
        </w:rPr>
      </w:pPr>
    </w:p>
    <w:p w14:paraId="24F8434C" w14:textId="668379BC" w:rsidR="001752A2" w:rsidRPr="00FE2882" w:rsidRDefault="001752A2" w:rsidP="001752A2">
      <w:pPr>
        <w:spacing w:line="276" w:lineRule="auto"/>
        <w:jc w:val="center"/>
        <w:rPr>
          <w:rFonts w:cs="Arial"/>
          <w:b/>
          <w:color w:val="000000"/>
          <w:sz w:val="21"/>
          <w:szCs w:val="20"/>
        </w:rPr>
      </w:pPr>
      <w:r w:rsidRPr="00FE2882">
        <w:rPr>
          <w:rFonts w:cs="Arial"/>
          <w:b/>
          <w:color w:val="000000"/>
          <w:sz w:val="24"/>
        </w:rPr>
        <w:t>TES® by CollegeSource, Inc</w:t>
      </w:r>
      <w:r w:rsidRPr="00FE2882">
        <w:rPr>
          <w:rFonts w:cs="Arial"/>
          <w:b/>
          <w:color w:val="000000"/>
          <w:sz w:val="21"/>
          <w:szCs w:val="20"/>
        </w:rPr>
        <w:t>.</w:t>
      </w:r>
    </w:p>
    <w:p w14:paraId="7E3515DB" w14:textId="77777777" w:rsidR="001752A2" w:rsidRDefault="001752A2" w:rsidP="001752A2">
      <w:pPr>
        <w:pStyle w:val="BodyText"/>
        <w:rPr>
          <w:b/>
          <w:color w:val="000000"/>
          <w:sz w:val="20"/>
        </w:rPr>
      </w:pPr>
    </w:p>
    <w:p w14:paraId="6099EC82" w14:textId="73C8ECE5" w:rsidR="001752A2" w:rsidRPr="001752A2" w:rsidRDefault="001752A2" w:rsidP="001752A2">
      <w:pPr>
        <w:pStyle w:val="BodyText"/>
        <w:rPr>
          <w:b/>
          <w:color w:val="000000"/>
          <w:sz w:val="20"/>
        </w:rPr>
      </w:pPr>
      <w:r w:rsidRPr="001752A2">
        <w:rPr>
          <w:b/>
          <w:color w:val="000000"/>
          <w:sz w:val="20"/>
        </w:rPr>
        <w:t>SOLE SOURCE</w:t>
      </w:r>
    </w:p>
    <w:p w14:paraId="579E7001" w14:textId="683EA5D5" w:rsidR="001752A2" w:rsidRPr="001752A2" w:rsidRDefault="001752A2" w:rsidP="001752A2">
      <w:pPr>
        <w:pStyle w:val="BodyText"/>
        <w:rPr>
          <w:color w:val="000000"/>
          <w:sz w:val="20"/>
        </w:rPr>
      </w:pPr>
      <w:r w:rsidRPr="001752A2">
        <w:rPr>
          <w:color w:val="000000"/>
          <w:sz w:val="20"/>
        </w:rPr>
        <w:t xml:space="preserve">While other software packages may offer places to store equivalencies or even a </w:t>
      </w:r>
      <w:r w:rsidR="009C533E" w:rsidRPr="001752A2">
        <w:rPr>
          <w:color w:val="000000"/>
          <w:sz w:val="20"/>
        </w:rPr>
        <w:t>workflow</w:t>
      </w:r>
      <w:r w:rsidRPr="001752A2">
        <w:rPr>
          <w:color w:val="000000"/>
          <w:sz w:val="20"/>
        </w:rPr>
        <w:t xml:space="preserve"> for handling evaluation decisions, no other software on the market is built around the unique CollegeSource database.</w:t>
      </w:r>
    </w:p>
    <w:p w14:paraId="31876531" w14:textId="7A92DF60" w:rsidR="001752A2" w:rsidRPr="001752A2" w:rsidRDefault="001752A2" w:rsidP="001752A2">
      <w:pPr>
        <w:pStyle w:val="BodyText"/>
        <w:rPr>
          <w:color w:val="000000"/>
          <w:sz w:val="20"/>
        </w:rPr>
      </w:pPr>
      <w:r w:rsidRPr="001752A2">
        <w:rPr>
          <w:color w:val="000000"/>
          <w:sz w:val="20"/>
        </w:rPr>
        <w:t xml:space="preserve">The CollegeSource database is the </w:t>
      </w:r>
      <w:r w:rsidRPr="001752A2">
        <w:rPr>
          <w:i/>
          <w:color w:val="000000"/>
          <w:sz w:val="20"/>
        </w:rPr>
        <w:t>first</w:t>
      </w:r>
      <w:r w:rsidRPr="001752A2">
        <w:rPr>
          <w:color w:val="000000"/>
          <w:sz w:val="20"/>
        </w:rPr>
        <w:t xml:space="preserve"> and only </w:t>
      </w:r>
      <w:r w:rsidRPr="001752A2">
        <w:rPr>
          <w:i/>
          <w:color w:val="000000"/>
          <w:sz w:val="20"/>
        </w:rPr>
        <w:t>comprehensive</w:t>
      </w:r>
      <w:r w:rsidRPr="001752A2">
        <w:rPr>
          <w:color w:val="000000"/>
          <w:sz w:val="20"/>
        </w:rPr>
        <w:t xml:space="preserve"> database of course and catalog information. It houses </w:t>
      </w:r>
      <w:r w:rsidR="00722B35">
        <w:rPr>
          <w:color w:val="000000"/>
          <w:sz w:val="20"/>
        </w:rPr>
        <w:t>over 1</w:t>
      </w:r>
      <w:r w:rsidR="00AF29BC">
        <w:rPr>
          <w:color w:val="000000"/>
          <w:sz w:val="20"/>
        </w:rPr>
        <w:t>5</w:t>
      </w:r>
      <w:r w:rsidR="001C0105">
        <w:rPr>
          <w:color w:val="000000"/>
          <w:sz w:val="20"/>
        </w:rPr>
        <w:t>7.8</w:t>
      </w:r>
      <w:r w:rsidRPr="001752A2">
        <w:rPr>
          <w:color w:val="000000"/>
          <w:sz w:val="20"/>
        </w:rPr>
        <w:t xml:space="preserve"> million course descriptions drawn from more than 1</w:t>
      </w:r>
      <w:r w:rsidR="00AF29BC">
        <w:rPr>
          <w:color w:val="000000"/>
          <w:sz w:val="20"/>
        </w:rPr>
        <w:t>8</w:t>
      </w:r>
      <w:r w:rsidR="001C0105">
        <w:rPr>
          <w:color w:val="000000"/>
          <w:sz w:val="20"/>
        </w:rPr>
        <w:t>6</w:t>
      </w:r>
      <w:r w:rsidRPr="001752A2">
        <w:rPr>
          <w:color w:val="000000"/>
          <w:sz w:val="20"/>
        </w:rPr>
        <w:t xml:space="preserve">,000 current and archived catalogs. This data is collected annually, at the expense of CollegeSource, for every </w:t>
      </w:r>
      <w:r w:rsidR="001C0105">
        <w:rPr>
          <w:color w:val="000000"/>
          <w:sz w:val="20"/>
        </w:rPr>
        <w:t>higher education institution</w:t>
      </w:r>
      <w:r w:rsidRPr="001752A2">
        <w:rPr>
          <w:color w:val="000000"/>
          <w:sz w:val="20"/>
        </w:rPr>
        <w:t xml:space="preserve"> in the United States recognized by the US Secretary of Education, regardless of whether that </w:t>
      </w:r>
      <w:r w:rsidR="001C0105">
        <w:rPr>
          <w:color w:val="000000"/>
          <w:sz w:val="20"/>
        </w:rPr>
        <w:t>institution</w:t>
      </w:r>
      <w:r w:rsidRPr="001752A2">
        <w:rPr>
          <w:color w:val="000000"/>
          <w:sz w:val="20"/>
        </w:rPr>
        <w:t xml:space="preserve"> subscribes to a CollegeSource product or not. Annual collection of the data ensures that data is accurate</w:t>
      </w:r>
      <w:r w:rsidR="001C0105">
        <w:rPr>
          <w:color w:val="000000"/>
          <w:sz w:val="20"/>
        </w:rPr>
        <w:t xml:space="preserve"> and up-to-date</w:t>
      </w:r>
      <w:r w:rsidRPr="001752A2">
        <w:rPr>
          <w:color w:val="000000"/>
          <w:sz w:val="20"/>
        </w:rPr>
        <w:t xml:space="preserve"> and allows for sophisticated features, such as comparing any two editions of the same catalog title to highlight specific changes. No other database is comparable in that no other database on the market is comprehensive</w:t>
      </w:r>
      <w:r w:rsidR="001C0105">
        <w:rPr>
          <w:color w:val="000000"/>
          <w:sz w:val="20"/>
        </w:rPr>
        <w:t>. Most</w:t>
      </w:r>
      <w:r w:rsidRPr="001752A2">
        <w:rPr>
          <w:color w:val="000000"/>
          <w:sz w:val="20"/>
        </w:rPr>
        <w:t xml:space="preserve"> contain less than 10% of the source data that appears in the CollegeSource database. Also, no other database is updated annually; others who claim to hold college course data are typically vague about the date on which the data was collected and in which catalog it appeared.</w:t>
      </w:r>
    </w:p>
    <w:p w14:paraId="3241DD8C" w14:textId="77777777" w:rsidR="001752A2" w:rsidRPr="001752A2" w:rsidRDefault="001752A2" w:rsidP="001752A2">
      <w:pPr>
        <w:pStyle w:val="BodyText"/>
        <w:rPr>
          <w:color w:val="000000"/>
          <w:sz w:val="20"/>
        </w:rPr>
      </w:pPr>
      <w:r w:rsidRPr="001752A2">
        <w:rPr>
          <w:color w:val="000000"/>
          <w:sz w:val="20"/>
        </w:rPr>
        <w:t xml:space="preserve">Because of the underpinning database and SaaS platform, TES is the only real turn-key solution on the market. Other solutions require extensive and time-consuming data entry by the client and may need technical resources/expertise to implement. </w:t>
      </w:r>
    </w:p>
    <w:p w14:paraId="23DD080C" w14:textId="77777777" w:rsidR="001752A2" w:rsidRPr="001752A2" w:rsidRDefault="001752A2" w:rsidP="001752A2">
      <w:pPr>
        <w:pStyle w:val="BodyText"/>
        <w:rPr>
          <w:color w:val="000000"/>
          <w:sz w:val="20"/>
        </w:rPr>
      </w:pPr>
    </w:p>
    <w:p w14:paraId="676D7B03" w14:textId="0A516F99" w:rsidR="001752A2" w:rsidRPr="001752A2" w:rsidRDefault="001752A2" w:rsidP="001752A2">
      <w:pPr>
        <w:pStyle w:val="BodyText"/>
        <w:rPr>
          <w:b/>
          <w:color w:val="000000"/>
          <w:sz w:val="20"/>
        </w:rPr>
      </w:pPr>
      <w:r w:rsidRPr="001752A2">
        <w:rPr>
          <w:b/>
          <w:color w:val="000000"/>
          <w:sz w:val="20"/>
        </w:rPr>
        <w:t>KEY FEATURES</w:t>
      </w:r>
    </w:p>
    <w:p w14:paraId="6E151D7F" w14:textId="77777777" w:rsidR="001752A2" w:rsidRPr="001752A2" w:rsidRDefault="001752A2" w:rsidP="001752A2">
      <w:pPr>
        <w:pStyle w:val="BodyText"/>
        <w:rPr>
          <w:color w:val="000000"/>
          <w:sz w:val="20"/>
        </w:rPr>
      </w:pPr>
      <w:r w:rsidRPr="001752A2">
        <w:rPr>
          <w:color w:val="000000"/>
          <w:sz w:val="20"/>
          <w:u w:val="single"/>
        </w:rPr>
        <w:t>COURSE SEARCHING</w:t>
      </w:r>
      <w:r w:rsidRPr="001752A2">
        <w:rPr>
          <w:color w:val="000000"/>
          <w:sz w:val="20"/>
        </w:rPr>
        <w:t xml:space="preserve"> </w:t>
      </w:r>
    </w:p>
    <w:p w14:paraId="5A185FE8" w14:textId="335CCDD7" w:rsidR="001752A2" w:rsidRPr="001752A2" w:rsidRDefault="001752A2" w:rsidP="001752A2">
      <w:pPr>
        <w:pStyle w:val="BodyText"/>
        <w:rPr>
          <w:color w:val="000000"/>
          <w:sz w:val="20"/>
        </w:rPr>
      </w:pPr>
      <w:r w:rsidRPr="001752A2">
        <w:rPr>
          <w:color w:val="000000"/>
          <w:sz w:val="20"/>
        </w:rPr>
        <w:t>TES provides fast and easy access to millions of course descriptions. Powerful search tools allow users to quickly find matches between the curriculum of other schools and their own. On-screen reports can be emailed, routed for evaluation, or used to create an equivalency.</w:t>
      </w:r>
    </w:p>
    <w:p w14:paraId="742431D4" w14:textId="77777777" w:rsidR="001752A2" w:rsidRPr="001752A2" w:rsidRDefault="001752A2" w:rsidP="001752A2">
      <w:pPr>
        <w:pStyle w:val="BodyText"/>
        <w:rPr>
          <w:color w:val="000000"/>
          <w:sz w:val="20"/>
        </w:rPr>
      </w:pPr>
      <w:r w:rsidRPr="001752A2">
        <w:rPr>
          <w:color w:val="000000"/>
          <w:sz w:val="20"/>
          <w:u w:val="single"/>
        </w:rPr>
        <w:t>INSTITUTION PROFILES</w:t>
      </w:r>
      <w:r w:rsidRPr="001752A2">
        <w:rPr>
          <w:color w:val="000000"/>
          <w:sz w:val="20"/>
        </w:rPr>
        <w:t xml:space="preserve"> </w:t>
      </w:r>
    </w:p>
    <w:p w14:paraId="131DAEE9" w14:textId="0DF169BF" w:rsidR="001752A2" w:rsidRPr="001752A2" w:rsidRDefault="001752A2" w:rsidP="001752A2">
      <w:pPr>
        <w:pStyle w:val="BodyText"/>
        <w:rPr>
          <w:color w:val="000000"/>
          <w:sz w:val="20"/>
        </w:rPr>
      </w:pPr>
      <w:r w:rsidRPr="001752A2">
        <w:rPr>
          <w:color w:val="000000"/>
          <w:sz w:val="20"/>
        </w:rPr>
        <w:t>Each institution in TES has a profile displaying national and programmatic accreditation, calendar</w:t>
      </w:r>
      <w:r w:rsidR="001C0105">
        <w:rPr>
          <w:color w:val="000000"/>
          <w:sz w:val="20"/>
        </w:rPr>
        <w:t xml:space="preserve">, and unit type, basic contact data, the </w:t>
      </w:r>
      <w:r w:rsidRPr="001752A2">
        <w:rPr>
          <w:color w:val="000000"/>
          <w:sz w:val="20"/>
        </w:rPr>
        <w:t xml:space="preserve">highest degree offered, and other critical information. </w:t>
      </w:r>
    </w:p>
    <w:p w14:paraId="74CBD64A" w14:textId="77777777" w:rsidR="001752A2" w:rsidRPr="001752A2" w:rsidRDefault="001752A2" w:rsidP="001752A2">
      <w:pPr>
        <w:pStyle w:val="BodyText"/>
        <w:rPr>
          <w:color w:val="000000"/>
          <w:sz w:val="20"/>
        </w:rPr>
      </w:pPr>
      <w:r w:rsidRPr="001752A2">
        <w:rPr>
          <w:color w:val="000000"/>
          <w:sz w:val="20"/>
          <w:u w:val="single"/>
        </w:rPr>
        <w:t>CUSTOM REPORTS</w:t>
      </w:r>
      <w:r w:rsidRPr="001752A2">
        <w:rPr>
          <w:color w:val="000000"/>
          <w:sz w:val="20"/>
        </w:rPr>
        <w:t xml:space="preserve"> </w:t>
      </w:r>
    </w:p>
    <w:p w14:paraId="6193FB1E" w14:textId="01728CD9" w:rsidR="001752A2" w:rsidRPr="001752A2" w:rsidRDefault="001752A2" w:rsidP="001752A2">
      <w:pPr>
        <w:pStyle w:val="BodyText"/>
        <w:rPr>
          <w:color w:val="000000"/>
          <w:sz w:val="20"/>
        </w:rPr>
      </w:pPr>
      <w:r w:rsidRPr="001752A2">
        <w:rPr>
          <w:color w:val="000000"/>
          <w:sz w:val="20"/>
        </w:rPr>
        <w:t>No more cutting and pasting or manually creating course lists. Users can create custom reports containing course descriptions from multiple institutions and multiple academic years. Commonly used reports can be shared among users or exported for external distribution. These reports can be checked against standing evaluations for transferability.</w:t>
      </w:r>
    </w:p>
    <w:p w14:paraId="05158DF6" w14:textId="77777777" w:rsidR="001752A2" w:rsidRPr="001752A2" w:rsidRDefault="001752A2" w:rsidP="001752A2">
      <w:pPr>
        <w:pStyle w:val="BodyText"/>
        <w:rPr>
          <w:color w:val="000000"/>
          <w:sz w:val="20"/>
          <w:u w:val="single"/>
        </w:rPr>
      </w:pPr>
      <w:r w:rsidRPr="001752A2">
        <w:rPr>
          <w:color w:val="000000"/>
          <w:sz w:val="20"/>
          <w:u w:val="single"/>
        </w:rPr>
        <w:t>EQUIVALENCIES</w:t>
      </w:r>
    </w:p>
    <w:p w14:paraId="26F3C49A" w14:textId="77777777" w:rsidR="001752A2" w:rsidRPr="001752A2" w:rsidRDefault="001752A2" w:rsidP="001752A2">
      <w:pPr>
        <w:pStyle w:val="BodyText"/>
        <w:rPr>
          <w:color w:val="000000"/>
          <w:sz w:val="20"/>
        </w:rPr>
      </w:pPr>
      <w:r w:rsidRPr="001752A2">
        <w:rPr>
          <w:color w:val="000000"/>
          <w:sz w:val="20"/>
        </w:rPr>
        <w:t xml:space="preserve">TES aids users in efficiently building and maintaining an equivalency database. In addition to expected features, such as building both simple and complex equivalencies, TES provides features that are not offered by any other product in </w:t>
      </w:r>
    </w:p>
    <w:p w14:paraId="10298B20" w14:textId="6628EFCD" w:rsidR="001752A2" w:rsidRPr="001752A2" w:rsidRDefault="001752A2" w:rsidP="001752A2">
      <w:pPr>
        <w:pStyle w:val="BodyText"/>
        <w:rPr>
          <w:color w:val="000000"/>
          <w:sz w:val="20"/>
        </w:rPr>
      </w:pPr>
      <w:r w:rsidRPr="001752A2">
        <w:rPr>
          <w:color w:val="000000"/>
          <w:sz w:val="20"/>
        </w:rPr>
        <w:t xml:space="preserve">the market: side-by-side comparison of course descriptions, detailed tracking of changes in courses over time, auditing of equivalency approvals and changes, “health checks” to determine equivalencies that are out of date, a batch editor for changing multiple equivalencies at once, and more. </w:t>
      </w:r>
    </w:p>
    <w:p w14:paraId="785A9170" w14:textId="77777777" w:rsidR="00854EB8" w:rsidRDefault="00854EB8" w:rsidP="001752A2">
      <w:pPr>
        <w:pStyle w:val="BodyText"/>
        <w:rPr>
          <w:color w:val="000000"/>
          <w:sz w:val="20"/>
          <w:u w:val="single"/>
        </w:rPr>
      </w:pPr>
    </w:p>
    <w:p w14:paraId="24CAFEB4" w14:textId="77777777" w:rsidR="001752A2" w:rsidRPr="001752A2" w:rsidRDefault="001752A2" w:rsidP="001752A2">
      <w:pPr>
        <w:pStyle w:val="BodyText"/>
        <w:rPr>
          <w:color w:val="000000"/>
          <w:sz w:val="20"/>
        </w:rPr>
      </w:pPr>
      <w:r w:rsidRPr="001752A2">
        <w:rPr>
          <w:color w:val="000000"/>
          <w:sz w:val="20"/>
          <w:u w:val="single"/>
        </w:rPr>
        <w:lastRenderedPageBreak/>
        <w:t>EVALUATION TRACKER</w:t>
      </w:r>
      <w:r w:rsidRPr="001752A2">
        <w:rPr>
          <w:color w:val="000000"/>
          <w:sz w:val="20"/>
        </w:rPr>
        <w:t xml:space="preserve"> </w:t>
      </w:r>
    </w:p>
    <w:p w14:paraId="2068906A" w14:textId="62656036" w:rsidR="001752A2" w:rsidRPr="001752A2" w:rsidRDefault="001752A2" w:rsidP="001752A2">
      <w:pPr>
        <w:pStyle w:val="BodyText"/>
        <w:rPr>
          <w:color w:val="000000"/>
          <w:sz w:val="20"/>
        </w:rPr>
      </w:pPr>
      <w:r w:rsidRPr="001752A2">
        <w:rPr>
          <w:color w:val="000000"/>
          <w:sz w:val="20"/>
        </w:rPr>
        <w:t xml:space="preserve">The evaluation workflow records all in-system decisions made by faculty and staff regarding the appropriate transfer of each course. Each action and accompanying user notes </w:t>
      </w:r>
      <w:proofErr w:type="gramStart"/>
      <w:r w:rsidRPr="001752A2">
        <w:rPr>
          <w:color w:val="000000"/>
          <w:sz w:val="20"/>
        </w:rPr>
        <w:t>is</w:t>
      </w:r>
      <w:proofErr w:type="gramEnd"/>
      <w:r w:rsidRPr="001752A2">
        <w:rPr>
          <w:color w:val="000000"/>
          <w:sz w:val="20"/>
        </w:rPr>
        <w:t xml:space="preserve"> logged by the system for later retrieval, providing an unprecedented level of accountability. Statistics track a school’s evaluation performance for analyzing “transfer-friendly” factors, such as response time.</w:t>
      </w:r>
    </w:p>
    <w:p w14:paraId="667903BA" w14:textId="77777777" w:rsidR="001752A2" w:rsidRPr="001752A2" w:rsidRDefault="001752A2" w:rsidP="001752A2">
      <w:pPr>
        <w:pStyle w:val="BodyText"/>
        <w:rPr>
          <w:color w:val="000000"/>
          <w:sz w:val="20"/>
          <w:u w:val="single"/>
        </w:rPr>
      </w:pPr>
      <w:r w:rsidRPr="001752A2">
        <w:rPr>
          <w:color w:val="000000"/>
          <w:sz w:val="20"/>
          <w:u w:val="single"/>
        </w:rPr>
        <w:t>EXPLORATION TOOLS</w:t>
      </w:r>
    </w:p>
    <w:p w14:paraId="12C26254" w14:textId="346D5BBE" w:rsidR="001752A2" w:rsidRPr="001752A2" w:rsidRDefault="001752A2" w:rsidP="001752A2">
      <w:pPr>
        <w:pStyle w:val="BodyText"/>
        <w:rPr>
          <w:color w:val="000000"/>
          <w:sz w:val="20"/>
        </w:rPr>
      </w:pPr>
      <w:r w:rsidRPr="001752A2">
        <w:rPr>
          <w:color w:val="000000"/>
          <w:sz w:val="20"/>
        </w:rPr>
        <w:t xml:space="preserve">Utilizing the extensive database of course data, TES includes algorithms for making critical tasks easy. Here are two examples. The Course Change Explorer compares any two editions of a catalog to show added, dropped, or changed courses, highlighting specific changes to the text of each. The Equivalency Explorer intelligently matches titles from any two institutions’ catalogs to show likely equivalencies, which can then be created in a few clicks. </w:t>
      </w:r>
    </w:p>
    <w:p w14:paraId="4642FA05" w14:textId="77777777" w:rsidR="001752A2" w:rsidRPr="001752A2" w:rsidRDefault="001752A2" w:rsidP="001752A2">
      <w:pPr>
        <w:pStyle w:val="BodyText"/>
        <w:rPr>
          <w:color w:val="000000"/>
          <w:sz w:val="20"/>
          <w:u w:val="single"/>
        </w:rPr>
      </w:pPr>
      <w:r w:rsidRPr="001752A2">
        <w:rPr>
          <w:color w:val="000000"/>
          <w:sz w:val="20"/>
          <w:u w:val="single"/>
        </w:rPr>
        <w:t>WEBINARS</w:t>
      </w:r>
    </w:p>
    <w:p w14:paraId="180BB129" w14:textId="7A9EAD5A" w:rsidR="001752A2" w:rsidRPr="001752A2" w:rsidRDefault="001752A2" w:rsidP="001752A2">
      <w:pPr>
        <w:pStyle w:val="BodyText"/>
        <w:rPr>
          <w:color w:val="000000"/>
          <w:sz w:val="20"/>
        </w:rPr>
      </w:pPr>
      <w:r w:rsidRPr="001752A2">
        <w:rPr>
          <w:color w:val="000000"/>
          <w:sz w:val="20"/>
        </w:rPr>
        <w:t>CollegeSource conducts monthly interactive webinars at no cost to users, making training available year-round. Custom webinars are available on request.</w:t>
      </w:r>
    </w:p>
    <w:p w14:paraId="13983B2D" w14:textId="77777777" w:rsidR="001752A2" w:rsidRPr="001752A2" w:rsidRDefault="001752A2" w:rsidP="001752A2">
      <w:pPr>
        <w:pStyle w:val="BodyText"/>
        <w:rPr>
          <w:color w:val="000000"/>
          <w:sz w:val="20"/>
        </w:rPr>
      </w:pPr>
      <w:r w:rsidRPr="001752A2">
        <w:rPr>
          <w:color w:val="000000"/>
          <w:sz w:val="20"/>
          <w:u w:val="single"/>
        </w:rPr>
        <w:t>PUBLIC VIEW</w:t>
      </w:r>
      <w:r w:rsidRPr="001752A2">
        <w:rPr>
          <w:color w:val="000000"/>
          <w:sz w:val="20"/>
        </w:rPr>
        <w:t xml:space="preserve"> </w:t>
      </w:r>
    </w:p>
    <w:p w14:paraId="22CC65A6" w14:textId="40C6E08E" w:rsidR="001752A2" w:rsidRPr="001752A2" w:rsidRDefault="001752A2" w:rsidP="001752A2">
      <w:pPr>
        <w:pStyle w:val="BodyText"/>
        <w:rPr>
          <w:color w:val="000000"/>
          <w:sz w:val="20"/>
        </w:rPr>
      </w:pPr>
      <w:r w:rsidRPr="001752A2">
        <w:rPr>
          <w:color w:val="000000"/>
          <w:sz w:val="20"/>
        </w:rPr>
        <w:t xml:space="preserve">TES includes a ready-made website for each institution for publicizing equivalencies. The TES Public View allows users outside the institution (no login required) to search the institution’s equivalencies and equivalency guides stored in TES. Schools may embed the Public View </w:t>
      </w:r>
      <w:r w:rsidR="001C0105">
        <w:rPr>
          <w:color w:val="000000"/>
          <w:sz w:val="20"/>
        </w:rPr>
        <w:t>on</w:t>
      </w:r>
      <w:r w:rsidRPr="001752A2">
        <w:rPr>
          <w:color w:val="000000"/>
          <w:sz w:val="20"/>
        </w:rPr>
        <w:t xml:space="preserve"> their own website for appropriate branding. Options for customizing links, contact email, colors</w:t>
      </w:r>
      <w:r w:rsidR="001C0105">
        <w:rPr>
          <w:color w:val="000000"/>
          <w:sz w:val="20"/>
        </w:rPr>
        <w:t>,</w:t>
      </w:r>
      <w:r w:rsidRPr="001752A2">
        <w:rPr>
          <w:color w:val="000000"/>
          <w:sz w:val="20"/>
        </w:rPr>
        <w:t xml:space="preserve"> and fonts, and messages are available.</w:t>
      </w:r>
    </w:p>
    <w:p w14:paraId="4D9854CA" w14:textId="77777777" w:rsidR="001752A2" w:rsidRDefault="001752A2" w:rsidP="001752A2">
      <w:pPr>
        <w:pStyle w:val="BodyText"/>
        <w:rPr>
          <w:b/>
          <w:color w:val="000000"/>
          <w:sz w:val="20"/>
        </w:rPr>
      </w:pPr>
    </w:p>
    <w:p w14:paraId="16645977" w14:textId="713306CA" w:rsidR="001752A2" w:rsidRPr="001752A2" w:rsidRDefault="001752A2" w:rsidP="001752A2">
      <w:pPr>
        <w:pStyle w:val="BodyText"/>
        <w:rPr>
          <w:b/>
          <w:color w:val="000000"/>
          <w:sz w:val="20"/>
        </w:rPr>
      </w:pPr>
      <w:r w:rsidRPr="001752A2">
        <w:rPr>
          <w:b/>
          <w:color w:val="000000"/>
          <w:sz w:val="20"/>
        </w:rPr>
        <w:t>IMPLEMENTATION</w:t>
      </w:r>
    </w:p>
    <w:p w14:paraId="0E785FBB" w14:textId="28A174B0" w:rsidR="001752A2" w:rsidRPr="001752A2" w:rsidRDefault="001752A2" w:rsidP="001752A2">
      <w:pPr>
        <w:pStyle w:val="BodyText"/>
        <w:rPr>
          <w:color w:val="000000"/>
          <w:sz w:val="20"/>
        </w:rPr>
      </w:pPr>
      <w:r w:rsidRPr="001752A2">
        <w:rPr>
          <w:color w:val="000000"/>
          <w:sz w:val="20"/>
        </w:rPr>
        <w:t>TES is a Software as a Service (SaaS) that requires an annual subscription. The service is hosted on a cloud-like virtualized server array with fail-over and backup redundancy. User access is available through any Internet browser, utilizing a unique username and password combination for each user. New accounts are created within 24-48 hours, requiring no effort from the institution. Schools are provided with an administrator account, which is then used to generate all other user accounts. New users and their accompanying in-system rights can be established in seconds. Training for administrators (and all other TES roles) is free and delivered via interactive webinars.</w:t>
      </w:r>
    </w:p>
    <w:p w14:paraId="6FBB0A95" w14:textId="77777777" w:rsidR="001752A2" w:rsidRDefault="001752A2" w:rsidP="001752A2">
      <w:pPr>
        <w:pStyle w:val="BodyText"/>
        <w:rPr>
          <w:b/>
          <w:color w:val="000000"/>
          <w:sz w:val="20"/>
        </w:rPr>
      </w:pPr>
    </w:p>
    <w:p w14:paraId="3AFD4B78" w14:textId="67F9A851" w:rsidR="001752A2" w:rsidRPr="001752A2" w:rsidRDefault="001752A2" w:rsidP="001752A2">
      <w:pPr>
        <w:pStyle w:val="BodyText"/>
        <w:rPr>
          <w:b/>
          <w:color w:val="000000"/>
          <w:sz w:val="20"/>
        </w:rPr>
      </w:pPr>
      <w:r w:rsidRPr="001752A2">
        <w:rPr>
          <w:b/>
          <w:color w:val="000000"/>
          <w:sz w:val="20"/>
        </w:rPr>
        <w:t>IMPORTS</w:t>
      </w:r>
    </w:p>
    <w:p w14:paraId="22451FD3" w14:textId="5B3AD389" w:rsidR="001752A2" w:rsidRPr="001752A2" w:rsidRDefault="001752A2" w:rsidP="001752A2">
      <w:pPr>
        <w:pStyle w:val="BodyText"/>
        <w:rPr>
          <w:b/>
          <w:color w:val="000000"/>
          <w:sz w:val="20"/>
        </w:rPr>
      </w:pPr>
      <w:r w:rsidRPr="001752A2">
        <w:rPr>
          <w:color w:val="000000"/>
          <w:sz w:val="20"/>
        </w:rPr>
        <w:t xml:space="preserve">Schools that wish to load equivalencies into TES from an outside data source can arrange for imports. Imports require a fee that covers all the necessary data handling, analysis, and communication required to complete the upload. More details are available </w:t>
      </w:r>
      <w:r>
        <w:rPr>
          <w:color w:val="000000"/>
          <w:sz w:val="20"/>
        </w:rPr>
        <w:t xml:space="preserve">in our </w:t>
      </w:r>
      <w:hyperlink r:id="rId9" w:history="1">
        <w:r w:rsidRPr="001752A2">
          <w:rPr>
            <w:rStyle w:val="Hyperlink"/>
            <w:sz w:val="20"/>
          </w:rPr>
          <w:t>Support Center</w:t>
        </w:r>
      </w:hyperlink>
      <w:r>
        <w:rPr>
          <w:color w:val="000000"/>
          <w:sz w:val="20"/>
        </w:rPr>
        <w:t>.</w:t>
      </w:r>
    </w:p>
    <w:p w14:paraId="60A831BE" w14:textId="2B18F0DC" w:rsidR="008B665D" w:rsidRDefault="008B665D" w:rsidP="008B665D">
      <w:pPr>
        <w:pStyle w:val="BodyText"/>
        <w:spacing w:line="276" w:lineRule="auto"/>
        <w:rPr>
          <w:color w:val="000000"/>
          <w:sz w:val="20"/>
        </w:rPr>
      </w:pPr>
    </w:p>
    <w:p w14:paraId="76DCF3D2" w14:textId="1582BF92" w:rsidR="001752A2" w:rsidRDefault="001752A2" w:rsidP="008B665D">
      <w:pPr>
        <w:pStyle w:val="BodyText"/>
        <w:spacing w:line="276" w:lineRule="auto"/>
        <w:rPr>
          <w:color w:val="000000"/>
          <w:sz w:val="20"/>
        </w:rPr>
      </w:pPr>
    </w:p>
    <w:p w14:paraId="53FBF651" w14:textId="77777777" w:rsidR="001752A2" w:rsidRPr="008B665D" w:rsidRDefault="001752A2" w:rsidP="008B665D">
      <w:pPr>
        <w:pStyle w:val="BodyText"/>
        <w:spacing w:line="276" w:lineRule="auto"/>
        <w:rPr>
          <w:color w:val="000000"/>
          <w:sz w:val="20"/>
        </w:rPr>
      </w:pPr>
    </w:p>
    <w:sectPr w:rsidR="001752A2" w:rsidRPr="008B665D" w:rsidSect="00854EB8">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6BCD5" w14:textId="77777777" w:rsidR="00C433FD" w:rsidRDefault="00C433FD">
      <w:r>
        <w:separator/>
      </w:r>
    </w:p>
  </w:endnote>
  <w:endnote w:type="continuationSeparator" w:id="0">
    <w:p w14:paraId="6741B6EE" w14:textId="77777777" w:rsidR="00C433FD" w:rsidRDefault="00C4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6653711"/>
      <w:docPartObj>
        <w:docPartGallery w:val="Page Numbers (Bottom of Page)"/>
        <w:docPartUnique/>
      </w:docPartObj>
    </w:sdtPr>
    <w:sdtEndPr>
      <w:rPr>
        <w:rStyle w:val="PageNumber"/>
      </w:rPr>
    </w:sdtEndPr>
    <w:sdtContent>
      <w:p w14:paraId="5D640F13" w14:textId="2986C934" w:rsidR="00854EB8" w:rsidRDefault="00854EB8" w:rsidP="003853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1F2FA7" w14:textId="77777777" w:rsidR="00854EB8" w:rsidRDefault="00854EB8" w:rsidP="00854E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94CC" w14:textId="32386FAA" w:rsidR="001752A2" w:rsidRPr="001752A2" w:rsidRDefault="001752A2" w:rsidP="00854EB8">
    <w:pPr>
      <w:pStyle w:val="Footer"/>
      <w:pBdr>
        <w:bottom w:val="single" w:sz="12" w:space="1" w:color="auto"/>
      </w:pBdr>
      <w:ind w:right="360"/>
    </w:pPr>
  </w:p>
  <w:sdt>
    <w:sdtPr>
      <w:rPr>
        <w:rStyle w:val="PageNumber"/>
      </w:rPr>
      <w:id w:val="436568618"/>
      <w:docPartObj>
        <w:docPartGallery w:val="Page Numbers (Bottom of Page)"/>
        <w:docPartUnique/>
      </w:docPartObj>
    </w:sdtPr>
    <w:sdtEndPr>
      <w:rPr>
        <w:rStyle w:val="PageNumber"/>
      </w:rPr>
    </w:sdtEndPr>
    <w:sdtContent>
      <w:p w14:paraId="2F4ACA88" w14:textId="77777777" w:rsidR="00854EB8" w:rsidRDefault="00854EB8" w:rsidP="00854EB8">
        <w:pPr>
          <w:pStyle w:val="Footer"/>
          <w:framePr w:wrap="none" w:vAnchor="text" w:hAnchor="page" w:x="11015" w:y="46"/>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05D55FC" w14:textId="5A210C9C" w:rsidR="001752A2" w:rsidRPr="001752A2" w:rsidRDefault="001752A2">
    <w:pPr>
      <w:pStyle w:val="Footer"/>
    </w:pPr>
    <w:r w:rsidRPr="001752A2">
      <w:t>COLLEGESOURCE.COM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F84F" w14:textId="77777777" w:rsidR="00A80B03" w:rsidRDefault="001C0105" w:rsidP="0047660A">
    <w:pPr>
      <w:pStyle w:val="Footer"/>
      <w:tabs>
        <w:tab w:val="clear" w:pos="4680"/>
        <w:tab w:val="clear" w:pos="9360"/>
        <w:tab w:val="center" w:pos="5400"/>
        <w:tab w:val="right" w:pos="10800"/>
      </w:tabs>
    </w:pPr>
    <w:r>
      <w:rPr>
        <w:noProof/>
      </w:rPr>
      <w:pict w14:anchorId="3FAF67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fault Line" style="width:539.5pt;height:1.75pt;mso-width-percent:0;mso-height-percent:0;mso-width-percent:0;mso-height-percent:0" o:hrpct="0" o:hralign="center" o:hr="t">
          <v:imagedata r:id="rId1" o:title="Default Line"/>
        </v:shape>
      </w:pict>
    </w:r>
  </w:p>
  <w:p w14:paraId="5482AF70" w14:textId="77777777" w:rsidR="00A80B03" w:rsidRPr="00845F37" w:rsidRDefault="00A80B03" w:rsidP="0047660A">
    <w:pPr>
      <w:pStyle w:val="Footer"/>
      <w:tabs>
        <w:tab w:val="clear" w:pos="4680"/>
        <w:tab w:val="clear" w:pos="9360"/>
        <w:tab w:val="center" w:pos="5400"/>
        <w:tab w:val="right" w:pos="10800"/>
      </w:tabs>
      <w:rPr>
        <w:color w:val="595959"/>
      </w:rPr>
    </w:pPr>
    <w:r w:rsidRPr="00C924FA">
      <w:rPr>
        <w:color w:val="595959"/>
      </w:rPr>
      <w:t>COLLEGESOURCE.COM</w:t>
    </w:r>
    <w:r w:rsidRPr="00845F37">
      <w:rPr>
        <w:color w:val="595959"/>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613D8" w14:textId="77777777" w:rsidR="00C433FD" w:rsidRDefault="00C433FD">
      <w:r>
        <w:separator/>
      </w:r>
    </w:p>
  </w:footnote>
  <w:footnote w:type="continuationSeparator" w:id="0">
    <w:p w14:paraId="56841443" w14:textId="77777777" w:rsidR="00C433FD" w:rsidRDefault="00C43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603B" w14:textId="77777777" w:rsidR="001752A2" w:rsidRDefault="001752A2" w:rsidP="001752A2"/>
  <w:tbl>
    <w:tblPr>
      <w:tblW w:w="0" w:type="auto"/>
      <w:tblLook w:val="04A0" w:firstRow="1" w:lastRow="0" w:firstColumn="1" w:lastColumn="0" w:noHBand="0" w:noVBand="1"/>
    </w:tblPr>
    <w:tblGrid>
      <w:gridCol w:w="5406"/>
      <w:gridCol w:w="5394"/>
    </w:tblGrid>
    <w:tr w:rsidR="001752A2" w14:paraId="3D695A49" w14:textId="77777777" w:rsidTr="007B507E">
      <w:trPr>
        <w:trHeight w:val="963"/>
      </w:trPr>
      <w:tc>
        <w:tcPr>
          <w:tcW w:w="5508" w:type="dxa"/>
          <w:shd w:val="clear" w:color="auto" w:fill="auto"/>
        </w:tcPr>
        <w:p w14:paraId="18E8AD60" w14:textId="77777777" w:rsidR="001752A2" w:rsidRDefault="001752A2" w:rsidP="001752A2">
          <w:pPr>
            <w:pStyle w:val="NoSpacing"/>
          </w:pPr>
          <w:r>
            <w:rPr>
              <w:noProof/>
            </w:rPr>
            <w:drawing>
              <wp:inline distT="0" distB="0" distL="0" distR="0" wp14:anchorId="5E5FDB50" wp14:editId="1E6D69E0">
                <wp:extent cx="2392045" cy="343535"/>
                <wp:effectExtent l="0" t="0" r="0" b="0"/>
                <wp:docPr id="6" name="Picture 6" descr="Logo-CollegeSource-2-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CollegeSource-2-Smal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045" cy="343535"/>
                        </a:xfrm>
                        <a:prstGeom prst="rect">
                          <a:avLst/>
                        </a:prstGeom>
                        <a:noFill/>
                        <a:ln>
                          <a:noFill/>
                        </a:ln>
                      </pic:spPr>
                    </pic:pic>
                  </a:graphicData>
                </a:graphic>
              </wp:inline>
            </w:drawing>
          </w:r>
        </w:p>
      </w:tc>
      <w:tc>
        <w:tcPr>
          <w:tcW w:w="5508" w:type="dxa"/>
          <w:shd w:val="clear" w:color="auto" w:fill="auto"/>
        </w:tcPr>
        <w:tbl>
          <w:tblPr>
            <w:tblpPr w:leftFromText="180" w:rightFromText="180" w:vertAnchor="text" w:horzAnchor="page" w:tblpX="7921" w:tblpY="-359"/>
            <w:tblW w:w="3595" w:type="dxa"/>
            <w:tblCellMar>
              <w:left w:w="0" w:type="dxa"/>
              <w:right w:w="0" w:type="dxa"/>
            </w:tblCellMar>
            <w:tblLook w:val="04A0" w:firstRow="1" w:lastRow="0" w:firstColumn="1" w:lastColumn="0" w:noHBand="0" w:noVBand="1"/>
          </w:tblPr>
          <w:tblGrid>
            <w:gridCol w:w="1799"/>
            <w:gridCol w:w="8"/>
            <w:gridCol w:w="1780"/>
            <w:gridCol w:w="8"/>
          </w:tblGrid>
          <w:tr w:rsidR="001752A2" w:rsidRPr="009B007C" w14:paraId="76CF004F" w14:textId="77777777" w:rsidTr="007B507E">
            <w:trPr>
              <w:trHeight w:val="923"/>
            </w:trPr>
            <w:tc>
              <w:tcPr>
                <w:tcW w:w="0" w:type="auto"/>
                <w:shd w:val="clear" w:color="auto" w:fill="auto"/>
              </w:tcPr>
              <w:p w14:paraId="314FEB9B" w14:textId="77777777" w:rsidR="001752A2" w:rsidRDefault="001752A2" w:rsidP="001752A2">
                <w:pPr>
                  <w:pStyle w:val="Contact"/>
                  <w:rPr>
                    <w:color w:val="595959"/>
                  </w:rPr>
                </w:pPr>
                <w:r w:rsidRPr="000724CB">
                  <w:rPr>
                    <w:color w:val="595959"/>
                  </w:rPr>
                  <w:t xml:space="preserve">Corporate </w:t>
                </w:r>
                <w:r>
                  <w:rPr>
                    <w:color w:val="595959"/>
                  </w:rPr>
                  <w:t>Office</w:t>
                </w:r>
              </w:p>
              <w:p w14:paraId="620E67D5" w14:textId="77777777" w:rsidR="001752A2" w:rsidRPr="000724CB" w:rsidRDefault="001752A2" w:rsidP="001752A2">
                <w:pPr>
                  <w:pStyle w:val="Contact"/>
                  <w:rPr>
                    <w:color w:val="595959"/>
                  </w:rPr>
                </w:pPr>
                <w:r w:rsidRPr="000724CB">
                  <w:rPr>
                    <w:color w:val="595959"/>
                  </w:rPr>
                  <w:t>8090 Engineer Rd.</w:t>
                </w:r>
                <w:r w:rsidRPr="000724CB">
                  <w:rPr>
                    <w:color w:val="595959"/>
                  </w:rPr>
                  <w:br/>
                  <w:t>San Diego, CA 92111</w:t>
                </w:r>
                <w:r w:rsidRPr="000724CB">
                  <w:rPr>
                    <w:color w:val="595959"/>
                  </w:rPr>
                  <w:br/>
                  <w:t>Phone: 800.854.2670</w:t>
                </w:r>
                <w:r w:rsidRPr="000724CB">
                  <w:rPr>
                    <w:color w:val="595959"/>
                  </w:rPr>
                  <w:br/>
                  <w:t>Fax: 858.278.8960</w:t>
                </w:r>
              </w:p>
            </w:tc>
            <w:tc>
              <w:tcPr>
                <w:tcW w:w="0" w:type="auto"/>
                <w:shd w:val="clear" w:color="auto" w:fill="auto"/>
              </w:tcPr>
              <w:p w14:paraId="5DB23E01" w14:textId="77777777" w:rsidR="001752A2" w:rsidRPr="000724CB" w:rsidRDefault="001752A2" w:rsidP="001752A2">
                <w:pPr>
                  <w:pStyle w:val="Header-Right"/>
                  <w:spacing w:line="276" w:lineRule="auto"/>
                  <w:jc w:val="left"/>
                  <w:rPr>
                    <w:color w:val="595959"/>
                    <w:sz w:val="14"/>
                    <w:szCs w:val="14"/>
                  </w:rPr>
                </w:pPr>
              </w:p>
            </w:tc>
            <w:tc>
              <w:tcPr>
                <w:tcW w:w="0" w:type="auto"/>
              </w:tcPr>
              <w:p w14:paraId="1A018E39" w14:textId="77777777" w:rsidR="001752A2" w:rsidRPr="000724CB" w:rsidRDefault="001752A2" w:rsidP="001752A2">
                <w:pPr>
                  <w:pStyle w:val="Contact"/>
                  <w:rPr>
                    <w:color w:val="595959"/>
                  </w:rPr>
                </w:pPr>
                <w:r w:rsidRPr="000724CB">
                  <w:rPr>
                    <w:color w:val="595959"/>
                  </w:rPr>
                  <w:t>1327 E. Kemper Rd.</w:t>
                </w:r>
              </w:p>
              <w:p w14:paraId="48B9DCB9" w14:textId="77777777" w:rsidR="001752A2" w:rsidRPr="000724CB" w:rsidRDefault="001752A2" w:rsidP="001752A2">
                <w:pPr>
                  <w:pStyle w:val="Contact"/>
                  <w:rPr>
                    <w:color w:val="595959"/>
                  </w:rPr>
                </w:pPr>
                <w:r w:rsidRPr="000724CB">
                  <w:rPr>
                    <w:color w:val="595959"/>
                  </w:rPr>
                  <w:t>Suite 3000</w:t>
                </w:r>
                <w:r w:rsidRPr="000724CB">
                  <w:rPr>
                    <w:color w:val="595959"/>
                  </w:rPr>
                  <w:br/>
                  <w:t>Cincinnati, OH 45246</w:t>
                </w:r>
                <w:r w:rsidRPr="000724CB">
                  <w:rPr>
                    <w:color w:val="595959"/>
                  </w:rPr>
                  <w:br/>
                  <w:t>Phone: 513.834.8780</w:t>
                </w:r>
                <w:r w:rsidRPr="000724CB">
                  <w:rPr>
                    <w:color w:val="595959"/>
                  </w:rPr>
                  <w:br/>
                  <w:t>Fax: 513.834.8779</w:t>
                </w:r>
              </w:p>
            </w:tc>
            <w:tc>
              <w:tcPr>
                <w:tcW w:w="0" w:type="auto"/>
              </w:tcPr>
              <w:p w14:paraId="1D559201" w14:textId="77777777" w:rsidR="001752A2" w:rsidRPr="00A81E1D" w:rsidRDefault="001752A2" w:rsidP="001752A2">
                <w:pPr>
                  <w:pStyle w:val="Header-Right"/>
                  <w:spacing w:line="276" w:lineRule="auto"/>
                  <w:jc w:val="left"/>
                  <w:rPr>
                    <w:sz w:val="14"/>
                    <w:szCs w:val="14"/>
                  </w:rPr>
                </w:pPr>
              </w:p>
            </w:tc>
          </w:tr>
        </w:tbl>
        <w:p w14:paraId="7E4BCFA1" w14:textId="77777777" w:rsidR="001752A2" w:rsidRDefault="001752A2" w:rsidP="001752A2">
          <w:pPr>
            <w:pStyle w:val="NoSpacing"/>
          </w:pPr>
        </w:p>
      </w:tc>
    </w:tr>
  </w:tbl>
  <w:p w14:paraId="4A1C4AC6" w14:textId="77777777" w:rsidR="001752A2" w:rsidRDefault="001752A2" w:rsidP="001752A2">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C7B4" w14:textId="77777777" w:rsidR="00CF07CC" w:rsidRDefault="00CF07CC"/>
  <w:tbl>
    <w:tblPr>
      <w:tblW w:w="0" w:type="auto"/>
      <w:tblLook w:val="04A0" w:firstRow="1" w:lastRow="0" w:firstColumn="1" w:lastColumn="0" w:noHBand="0" w:noVBand="1"/>
    </w:tblPr>
    <w:tblGrid>
      <w:gridCol w:w="5406"/>
      <w:gridCol w:w="5394"/>
    </w:tblGrid>
    <w:tr w:rsidR="00A80B03" w14:paraId="0EE6D1AF" w14:textId="77777777" w:rsidTr="00CF07CC">
      <w:trPr>
        <w:trHeight w:val="963"/>
      </w:trPr>
      <w:tc>
        <w:tcPr>
          <w:tcW w:w="5508" w:type="dxa"/>
          <w:shd w:val="clear" w:color="auto" w:fill="auto"/>
        </w:tcPr>
        <w:p w14:paraId="181F3B61" w14:textId="77777777" w:rsidR="00A80B03" w:rsidRDefault="00004D59" w:rsidP="000724CB">
          <w:pPr>
            <w:pStyle w:val="NoSpacing"/>
          </w:pPr>
          <w:r>
            <w:rPr>
              <w:noProof/>
            </w:rPr>
            <w:drawing>
              <wp:inline distT="0" distB="0" distL="0" distR="0" wp14:anchorId="1A48025F" wp14:editId="578FB8BF">
                <wp:extent cx="2392045" cy="343535"/>
                <wp:effectExtent l="0" t="0" r="0" b="0"/>
                <wp:docPr id="4" name="Picture 4" descr="Logo-CollegeSource-2-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CollegeSource-2-Smal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045" cy="343535"/>
                        </a:xfrm>
                        <a:prstGeom prst="rect">
                          <a:avLst/>
                        </a:prstGeom>
                        <a:noFill/>
                        <a:ln>
                          <a:noFill/>
                        </a:ln>
                      </pic:spPr>
                    </pic:pic>
                  </a:graphicData>
                </a:graphic>
              </wp:inline>
            </w:drawing>
          </w:r>
        </w:p>
      </w:tc>
      <w:tc>
        <w:tcPr>
          <w:tcW w:w="5508" w:type="dxa"/>
          <w:shd w:val="clear" w:color="auto" w:fill="auto"/>
        </w:tcPr>
        <w:tbl>
          <w:tblPr>
            <w:tblpPr w:leftFromText="180" w:rightFromText="180" w:vertAnchor="text" w:horzAnchor="page" w:tblpX="7921" w:tblpY="-359"/>
            <w:tblW w:w="3595" w:type="dxa"/>
            <w:tblCellMar>
              <w:left w:w="0" w:type="dxa"/>
              <w:right w:w="0" w:type="dxa"/>
            </w:tblCellMar>
            <w:tblLook w:val="04A0" w:firstRow="1" w:lastRow="0" w:firstColumn="1" w:lastColumn="0" w:noHBand="0" w:noVBand="1"/>
          </w:tblPr>
          <w:tblGrid>
            <w:gridCol w:w="1799"/>
            <w:gridCol w:w="8"/>
            <w:gridCol w:w="1780"/>
            <w:gridCol w:w="8"/>
          </w:tblGrid>
          <w:tr w:rsidR="00A80B03" w:rsidRPr="009B007C" w14:paraId="02A6F38A" w14:textId="77777777" w:rsidTr="0047660A">
            <w:trPr>
              <w:trHeight w:val="923"/>
            </w:trPr>
            <w:tc>
              <w:tcPr>
                <w:tcW w:w="0" w:type="auto"/>
                <w:shd w:val="clear" w:color="auto" w:fill="auto"/>
              </w:tcPr>
              <w:p w14:paraId="0135BCCD" w14:textId="77777777" w:rsidR="00A80B03" w:rsidRDefault="00A80B03" w:rsidP="0047660A">
                <w:pPr>
                  <w:pStyle w:val="Contact"/>
                  <w:rPr>
                    <w:color w:val="595959"/>
                  </w:rPr>
                </w:pPr>
                <w:r w:rsidRPr="000724CB">
                  <w:rPr>
                    <w:color w:val="595959"/>
                  </w:rPr>
                  <w:t xml:space="preserve">Corporate </w:t>
                </w:r>
                <w:r>
                  <w:rPr>
                    <w:color w:val="595959"/>
                  </w:rPr>
                  <w:t>Office</w:t>
                </w:r>
              </w:p>
              <w:p w14:paraId="0598BFAB" w14:textId="77777777" w:rsidR="00A80B03" w:rsidRPr="000724CB" w:rsidRDefault="00A80B03" w:rsidP="0047660A">
                <w:pPr>
                  <w:pStyle w:val="Contact"/>
                  <w:rPr>
                    <w:color w:val="595959"/>
                  </w:rPr>
                </w:pPr>
                <w:r w:rsidRPr="000724CB">
                  <w:rPr>
                    <w:color w:val="595959"/>
                  </w:rPr>
                  <w:t>8090 Engineer Rd.</w:t>
                </w:r>
                <w:r w:rsidRPr="000724CB">
                  <w:rPr>
                    <w:color w:val="595959"/>
                  </w:rPr>
                  <w:br/>
                  <w:t>San Diego, CA 92111</w:t>
                </w:r>
                <w:r w:rsidRPr="000724CB">
                  <w:rPr>
                    <w:color w:val="595959"/>
                  </w:rPr>
                  <w:br/>
                  <w:t>Phone: 800.854.2670</w:t>
                </w:r>
                <w:r w:rsidRPr="000724CB">
                  <w:rPr>
                    <w:color w:val="595959"/>
                  </w:rPr>
                  <w:br/>
                  <w:t>Fax: 858.278.8960</w:t>
                </w:r>
              </w:p>
            </w:tc>
            <w:tc>
              <w:tcPr>
                <w:tcW w:w="0" w:type="auto"/>
                <w:shd w:val="clear" w:color="auto" w:fill="auto"/>
              </w:tcPr>
              <w:p w14:paraId="4FFDC9A1" w14:textId="77777777" w:rsidR="00A80B03" w:rsidRPr="000724CB" w:rsidRDefault="00A80B03" w:rsidP="0047660A">
                <w:pPr>
                  <w:pStyle w:val="Header-Right"/>
                  <w:spacing w:line="276" w:lineRule="auto"/>
                  <w:jc w:val="left"/>
                  <w:rPr>
                    <w:color w:val="595959"/>
                    <w:sz w:val="14"/>
                    <w:szCs w:val="14"/>
                  </w:rPr>
                </w:pPr>
              </w:p>
            </w:tc>
            <w:tc>
              <w:tcPr>
                <w:tcW w:w="0" w:type="auto"/>
              </w:tcPr>
              <w:p w14:paraId="562D07E7" w14:textId="77777777" w:rsidR="00A80B03" w:rsidRPr="000724CB" w:rsidRDefault="00A80B03" w:rsidP="0047660A">
                <w:pPr>
                  <w:pStyle w:val="Contact"/>
                  <w:rPr>
                    <w:color w:val="595959"/>
                  </w:rPr>
                </w:pPr>
                <w:r w:rsidRPr="000724CB">
                  <w:rPr>
                    <w:color w:val="595959"/>
                  </w:rPr>
                  <w:t>1327 E. Kemper Rd.</w:t>
                </w:r>
              </w:p>
              <w:p w14:paraId="1894FE6A" w14:textId="77777777" w:rsidR="00A80B03" w:rsidRPr="000724CB" w:rsidRDefault="00A80B03" w:rsidP="0047660A">
                <w:pPr>
                  <w:pStyle w:val="Contact"/>
                  <w:rPr>
                    <w:color w:val="595959"/>
                  </w:rPr>
                </w:pPr>
                <w:r w:rsidRPr="000724CB">
                  <w:rPr>
                    <w:color w:val="595959"/>
                  </w:rPr>
                  <w:t>Suite 3000</w:t>
                </w:r>
                <w:r w:rsidRPr="000724CB">
                  <w:rPr>
                    <w:color w:val="595959"/>
                  </w:rPr>
                  <w:br/>
                  <w:t>Cincinnati, OH 45246</w:t>
                </w:r>
                <w:r w:rsidRPr="000724CB">
                  <w:rPr>
                    <w:color w:val="595959"/>
                  </w:rPr>
                  <w:br/>
                  <w:t>Phone: 513.834.8780</w:t>
                </w:r>
                <w:r w:rsidRPr="000724CB">
                  <w:rPr>
                    <w:color w:val="595959"/>
                  </w:rPr>
                  <w:br/>
                  <w:t>Fax: 513.834.8779</w:t>
                </w:r>
              </w:p>
            </w:tc>
            <w:tc>
              <w:tcPr>
                <w:tcW w:w="0" w:type="auto"/>
              </w:tcPr>
              <w:p w14:paraId="26F0E5A7" w14:textId="77777777" w:rsidR="00A80B03" w:rsidRPr="00A81E1D" w:rsidRDefault="00A80B03" w:rsidP="0047660A">
                <w:pPr>
                  <w:pStyle w:val="Header-Right"/>
                  <w:spacing w:line="276" w:lineRule="auto"/>
                  <w:jc w:val="left"/>
                  <w:rPr>
                    <w:sz w:val="14"/>
                    <w:szCs w:val="14"/>
                  </w:rPr>
                </w:pPr>
              </w:p>
            </w:tc>
          </w:tr>
        </w:tbl>
        <w:p w14:paraId="59D9ADA1" w14:textId="77777777" w:rsidR="00A80B03" w:rsidRDefault="00A80B03" w:rsidP="000724CB">
          <w:pPr>
            <w:pStyle w:val="NoSpacing"/>
          </w:pPr>
        </w:p>
      </w:tc>
    </w:tr>
  </w:tbl>
  <w:p w14:paraId="4806E909" w14:textId="77777777" w:rsidR="00A80B03" w:rsidRDefault="00A80B03" w:rsidP="000724CB">
    <w:pPr>
      <w:pStyle w:val="NoSpacing"/>
    </w:pPr>
  </w:p>
  <w:p w14:paraId="4C26DC87" w14:textId="77777777" w:rsidR="00A80B03" w:rsidRDefault="00A80B03" w:rsidP="000724CB">
    <w:pPr>
      <w:pStyle w:val="NoSpacing"/>
    </w:pPr>
  </w:p>
  <w:p w14:paraId="09E71438" w14:textId="77777777" w:rsidR="00A80B03" w:rsidRDefault="00A80B03" w:rsidP="000724CB">
    <w:pPr>
      <w:pStyle w:val="NoSpacing"/>
      <w:rPr>
        <w:sz w:val="16"/>
        <w:szCs w:val="16"/>
      </w:rPr>
    </w:pPr>
  </w:p>
  <w:p w14:paraId="00FF4E69" w14:textId="77777777" w:rsidR="00A80B03" w:rsidRDefault="00A80B03" w:rsidP="000724CB">
    <w:pPr>
      <w:pStyle w:val="NoSpacing"/>
      <w:rPr>
        <w:sz w:val="16"/>
        <w:szCs w:val="16"/>
      </w:rPr>
    </w:pPr>
  </w:p>
  <w:p w14:paraId="5D6FD01C" w14:textId="77777777" w:rsidR="00A80B03" w:rsidRPr="000724CB" w:rsidRDefault="00A80B03" w:rsidP="000724CB">
    <w:pPr>
      <w:pStyle w:val="NoSpacing"/>
      <w:rPr>
        <w:sz w:val="16"/>
        <w:szCs w:val="16"/>
      </w:rPr>
    </w:pPr>
  </w:p>
  <w:p w14:paraId="258FA455" w14:textId="77777777" w:rsidR="00A80B03" w:rsidRDefault="00A80B03" w:rsidP="0047660A">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num w:numId="1" w16cid:durableId="836700183">
    <w:abstractNumId w:val="9"/>
  </w:num>
  <w:num w:numId="2" w16cid:durableId="593129969">
    <w:abstractNumId w:val="7"/>
  </w:num>
  <w:num w:numId="3" w16cid:durableId="356855362">
    <w:abstractNumId w:val="6"/>
  </w:num>
  <w:num w:numId="4" w16cid:durableId="1243683836">
    <w:abstractNumId w:val="5"/>
  </w:num>
  <w:num w:numId="5" w16cid:durableId="114911429">
    <w:abstractNumId w:val="4"/>
  </w:num>
  <w:num w:numId="6" w16cid:durableId="348411908">
    <w:abstractNumId w:val="8"/>
  </w:num>
  <w:num w:numId="7" w16cid:durableId="1189679166">
    <w:abstractNumId w:val="3"/>
  </w:num>
  <w:num w:numId="8" w16cid:durableId="1862160128">
    <w:abstractNumId w:val="2"/>
  </w:num>
  <w:num w:numId="9" w16cid:durableId="1180969352">
    <w:abstractNumId w:val="1"/>
  </w:num>
  <w:num w:numId="10" w16cid:durableId="32536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Type w:val="let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435F93"/>
    <w:rsid w:val="00004D59"/>
    <w:rsid w:val="00016A96"/>
    <w:rsid w:val="000724CB"/>
    <w:rsid w:val="0009427A"/>
    <w:rsid w:val="000A6AD3"/>
    <w:rsid w:val="000C149B"/>
    <w:rsid w:val="0012330B"/>
    <w:rsid w:val="001509A9"/>
    <w:rsid w:val="00150A30"/>
    <w:rsid w:val="001701EE"/>
    <w:rsid w:val="001752A2"/>
    <w:rsid w:val="001C0105"/>
    <w:rsid w:val="0020150D"/>
    <w:rsid w:val="0020326A"/>
    <w:rsid w:val="00241D37"/>
    <w:rsid w:val="00284C6C"/>
    <w:rsid w:val="002C0C9C"/>
    <w:rsid w:val="002C5428"/>
    <w:rsid w:val="003C19E3"/>
    <w:rsid w:val="004042D0"/>
    <w:rsid w:val="004146B7"/>
    <w:rsid w:val="00435F93"/>
    <w:rsid w:val="0047660A"/>
    <w:rsid w:val="004B6DFA"/>
    <w:rsid w:val="005230E6"/>
    <w:rsid w:val="00556938"/>
    <w:rsid w:val="005B1433"/>
    <w:rsid w:val="005B58AC"/>
    <w:rsid w:val="005C4041"/>
    <w:rsid w:val="005D74AA"/>
    <w:rsid w:val="00632EB8"/>
    <w:rsid w:val="0063353B"/>
    <w:rsid w:val="00646B2D"/>
    <w:rsid w:val="00672AD0"/>
    <w:rsid w:val="006B1EBA"/>
    <w:rsid w:val="006C2F44"/>
    <w:rsid w:val="006D5776"/>
    <w:rsid w:val="006E0FB0"/>
    <w:rsid w:val="00711504"/>
    <w:rsid w:val="00722B35"/>
    <w:rsid w:val="007267DE"/>
    <w:rsid w:val="00787D1C"/>
    <w:rsid w:val="00845F37"/>
    <w:rsid w:val="00847966"/>
    <w:rsid w:val="00854EB8"/>
    <w:rsid w:val="008B665D"/>
    <w:rsid w:val="008C6024"/>
    <w:rsid w:val="008D0681"/>
    <w:rsid w:val="008E5B58"/>
    <w:rsid w:val="009103DC"/>
    <w:rsid w:val="00910AB1"/>
    <w:rsid w:val="009B007C"/>
    <w:rsid w:val="009B30B4"/>
    <w:rsid w:val="009B7B8D"/>
    <w:rsid w:val="009C533E"/>
    <w:rsid w:val="00A1366E"/>
    <w:rsid w:val="00A80B03"/>
    <w:rsid w:val="00A81E1D"/>
    <w:rsid w:val="00AD30C8"/>
    <w:rsid w:val="00AE7798"/>
    <w:rsid w:val="00AF29BC"/>
    <w:rsid w:val="00B106EB"/>
    <w:rsid w:val="00B11561"/>
    <w:rsid w:val="00B92767"/>
    <w:rsid w:val="00BF06FE"/>
    <w:rsid w:val="00BF616A"/>
    <w:rsid w:val="00C111C6"/>
    <w:rsid w:val="00C433FD"/>
    <w:rsid w:val="00C92305"/>
    <w:rsid w:val="00C924FA"/>
    <w:rsid w:val="00CA17DE"/>
    <w:rsid w:val="00CB1E66"/>
    <w:rsid w:val="00CF07CC"/>
    <w:rsid w:val="00D4634C"/>
    <w:rsid w:val="00D63103"/>
    <w:rsid w:val="00DE1EC2"/>
    <w:rsid w:val="00DF7329"/>
    <w:rsid w:val="00E22B06"/>
    <w:rsid w:val="00EB3941"/>
    <w:rsid w:val="00EC3B79"/>
    <w:rsid w:val="00EF247E"/>
    <w:rsid w:val="00F830EC"/>
    <w:rsid w:val="00F87A23"/>
    <w:rsid w:val="00FB0C34"/>
    <w:rsid w:val="00FB2E89"/>
    <w:rsid w:val="00FF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E89C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5C4041"/>
    <w:rPr>
      <w:sz w:val="18"/>
      <w:szCs w:val="22"/>
    </w:rPr>
  </w:style>
  <w:style w:type="paragraph" w:styleId="Heading1">
    <w:name w:val="heading 1"/>
    <w:basedOn w:val="Normal"/>
    <w:next w:val="Normal"/>
    <w:link w:val="Heading1Char"/>
    <w:qFormat/>
    <w:rsid w:val="005C4041"/>
    <w:pPr>
      <w:keepNext/>
      <w:keepLines/>
      <w:spacing w:before="480"/>
      <w:outlineLvl w:val="0"/>
    </w:pPr>
    <w:rPr>
      <w:b/>
      <w:bCs/>
      <w:color w:val="3476B1"/>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b/>
      <w:bCs/>
      <w:color w:val="629DD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b/>
      <w:bCs/>
      <w:color w:val="629DD1"/>
    </w:rPr>
  </w:style>
  <w:style w:type="paragraph" w:styleId="Heading4">
    <w:name w:val="heading 4"/>
    <w:basedOn w:val="Normal"/>
    <w:next w:val="Normal"/>
    <w:link w:val="Heading4Char"/>
    <w:semiHidden/>
    <w:unhideWhenUsed/>
    <w:qFormat/>
    <w:rsid w:val="005C4041"/>
    <w:pPr>
      <w:keepNext/>
      <w:keepLines/>
      <w:spacing w:before="200"/>
      <w:outlineLvl w:val="3"/>
    </w:pPr>
    <w:rPr>
      <w:b/>
      <w:bCs/>
      <w:i/>
      <w:iCs/>
      <w:color w:val="629DD1"/>
    </w:rPr>
  </w:style>
  <w:style w:type="paragraph" w:styleId="Heading5">
    <w:name w:val="heading 5"/>
    <w:basedOn w:val="Normal"/>
    <w:next w:val="Normal"/>
    <w:link w:val="Heading5Char"/>
    <w:semiHidden/>
    <w:unhideWhenUsed/>
    <w:qFormat/>
    <w:rsid w:val="005C4041"/>
    <w:pPr>
      <w:keepNext/>
      <w:keepLines/>
      <w:spacing w:before="200"/>
      <w:outlineLvl w:val="4"/>
    </w:pPr>
    <w:rPr>
      <w:color w:val="224E76"/>
    </w:rPr>
  </w:style>
  <w:style w:type="paragraph" w:styleId="Heading6">
    <w:name w:val="heading 6"/>
    <w:basedOn w:val="Normal"/>
    <w:next w:val="Normal"/>
    <w:link w:val="Heading6Char"/>
    <w:semiHidden/>
    <w:unhideWhenUsed/>
    <w:qFormat/>
    <w:rsid w:val="005C4041"/>
    <w:pPr>
      <w:keepNext/>
      <w:keepLines/>
      <w:spacing w:before="200"/>
      <w:outlineLvl w:val="5"/>
    </w:pPr>
    <w:rPr>
      <w:i/>
      <w:iCs/>
      <w:color w:val="224E76"/>
    </w:rPr>
  </w:style>
  <w:style w:type="paragraph" w:styleId="Heading7">
    <w:name w:val="heading 7"/>
    <w:basedOn w:val="Normal"/>
    <w:next w:val="Normal"/>
    <w:link w:val="Heading7Char"/>
    <w:semiHidden/>
    <w:unhideWhenUsed/>
    <w:qFormat/>
    <w:rsid w:val="005C4041"/>
    <w:pPr>
      <w:keepNext/>
      <w:keepLines/>
      <w:spacing w:before="200"/>
      <w:outlineLvl w:val="6"/>
    </w:pPr>
    <w:rPr>
      <w:i/>
      <w:iCs/>
      <w:color w:val="404040"/>
    </w:rPr>
  </w:style>
  <w:style w:type="paragraph" w:styleId="Heading8">
    <w:name w:val="heading 8"/>
    <w:basedOn w:val="Normal"/>
    <w:next w:val="Normal"/>
    <w:link w:val="Heading8Char"/>
    <w:semiHidden/>
    <w:unhideWhenUsed/>
    <w:qFormat/>
    <w:rsid w:val="005C4041"/>
    <w:pPr>
      <w:keepNext/>
      <w:keepLines/>
      <w:spacing w:before="200"/>
      <w:outlineLvl w:val="7"/>
    </w:pPr>
    <w:rPr>
      <w:color w:val="404040"/>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sz w:val="24"/>
      <w:szCs w:val="24"/>
    </w:rPr>
  </w:style>
  <w:style w:type="character" w:customStyle="1" w:styleId="HeaderChar">
    <w:name w:val="Header Char"/>
    <w:link w:val="Header"/>
    <w:rsid w:val="005C4041"/>
    <w:rPr>
      <w:color w:val="000000"/>
      <w:sz w:val="24"/>
      <w:szCs w:val="24"/>
    </w:rPr>
  </w:style>
  <w:style w:type="paragraph" w:customStyle="1" w:styleId="Contact">
    <w:name w:val="Contact"/>
    <w:basedOn w:val="Normal"/>
    <w:rsid w:val="005C4041"/>
    <w:pPr>
      <w:spacing w:line="200" w:lineRule="exact"/>
    </w:pPr>
    <w:rPr>
      <w:color w:val="629DD1"/>
      <w:sz w:val="14"/>
      <w:szCs w:val="14"/>
    </w:rPr>
  </w:style>
  <w:style w:type="paragraph" w:customStyle="1" w:styleId="Header-Left">
    <w:name w:val="Header-Left"/>
    <w:basedOn w:val="Normal"/>
    <w:rsid w:val="005C4041"/>
    <w:pPr>
      <w:spacing w:after="200"/>
      <w:ind w:left="43"/>
    </w:pPr>
    <w:rPr>
      <w:color w:val="629DD1"/>
      <w:sz w:val="48"/>
    </w:rPr>
  </w:style>
  <w:style w:type="paragraph" w:customStyle="1" w:styleId="Header-Right">
    <w:name w:val="Header-Right"/>
    <w:basedOn w:val="Normal"/>
    <w:rsid w:val="005C4041"/>
    <w:pPr>
      <w:spacing w:after="200"/>
      <w:ind w:right="43"/>
      <w:jc w:val="right"/>
    </w:pPr>
    <w:rPr>
      <w:color w:val="629DD1"/>
      <w:sz w:val="36"/>
    </w:rPr>
  </w:style>
  <w:style w:type="table" w:customStyle="1" w:styleId="HostTable-Borderless">
    <w:name w:val="Host Table - Borderless"/>
    <w:basedOn w:val="TableNormal"/>
    <w:rsid w:val="005C4041"/>
    <w:tblPr>
      <w:tblCellMar>
        <w:left w:w="0" w:type="dxa"/>
        <w:right w:w="0" w:type="dxa"/>
      </w:tblCellMar>
    </w:tblPr>
  </w:style>
  <w:style w:type="paragraph" w:styleId="BodyText">
    <w:name w:val="Body Text"/>
    <w:basedOn w:val="Normal"/>
    <w:link w:val="BodyTextChar"/>
    <w:rsid w:val="005C4041"/>
    <w:pPr>
      <w:spacing w:after="200"/>
    </w:pPr>
    <w:rPr>
      <w:color w:val="404040"/>
      <w:szCs w:val="20"/>
    </w:rPr>
  </w:style>
  <w:style w:type="character" w:customStyle="1" w:styleId="BodyTextChar">
    <w:name w:val="Body Text Char"/>
    <w:link w:val="BodyText"/>
    <w:rsid w:val="005C4041"/>
    <w:rPr>
      <w:color w:val="404040"/>
      <w:sz w:val="18"/>
      <w:szCs w:val="20"/>
    </w:rPr>
  </w:style>
  <w:style w:type="character" w:customStyle="1" w:styleId="Plus">
    <w:name w:val="Plus"/>
    <w:rsid w:val="005C4041"/>
    <w:rPr>
      <w:b/>
      <w:color w:val="A0C3E3"/>
      <w:spacing w:val="-80"/>
      <w:position w:val="24"/>
      <w:sz w:val="60"/>
    </w:rPr>
  </w:style>
  <w:style w:type="paragraph" w:customStyle="1" w:styleId="DateandRecipient">
    <w:name w:val="Date and Recipient"/>
    <w:basedOn w:val="Normal"/>
    <w:rsid w:val="005C4041"/>
    <w:pPr>
      <w:spacing w:after="480"/>
    </w:pPr>
    <w:rPr>
      <w:color w:val="404040"/>
    </w:rPr>
  </w:style>
  <w:style w:type="paragraph" w:styleId="Signature">
    <w:name w:val="Signature"/>
    <w:basedOn w:val="Normal"/>
    <w:link w:val="SignatureChar"/>
    <w:rsid w:val="005C4041"/>
    <w:pPr>
      <w:spacing w:after="720"/>
    </w:pPr>
    <w:rPr>
      <w:color w:val="404040"/>
    </w:rPr>
  </w:style>
  <w:style w:type="character" w:customStyle="1" w:styleId="SignatureChar">
    <w:name w:val="Signature Char"/>
    <w:link w:val="Signature"/>
    <w:rsid w:val="005C4041"/>
    <w:rPr>
      <w:color w:val="404040"/>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29DD1" w:shadow="1"/>
        <w:left w:val="single" w:sz="2" w:space="10" w:color="629DD1" w:shadow="1"/>
        <w:bottom w:val="single" w:sz="2" w:space="10" w:color="629DD1" w:shadow="1"/>
        <w:right w:val="single" w:sz="2" w:space="10" w:color="629DD1" w:shadow="1"/>
      </w:pBdr>
      <w:ind w:left="1152" w:right="1152"/>
    </w:pPr>
    <w:rPr>
      <w:i/>
      <w:iCs/>
      <w:color w:val="629DD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link w:val="BodyTextFirstIndent"/>
    <w:semiHidden/>
    <w:rsid w:val="005C4041"/>
    <w:rPr>
      <w:color w:val="404040"/>
      <w:sz w:val="18"/>
      <w:szCs w:val="20"/>
    </w:rPr>
  </w:style>
  <w:style w:type="character" w:customStyle="1" w:styleId="BodyText2Char">
    <w:name w:val="Body Text 2 Char"/>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29DD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C4041"/>
    <w:rPr>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link w:val="FootnoteText"/>
    <w:semiHidden/>
    <w:rsid w:val="005C4041"/>
    <w:rPr>
      <w:sz w:val="20"/>
      <w:szCs w:val="20"/>
    </w:rPr>
  </w:style>
  <w:style w:type="character" w:customStyle="1" w:styleId="Heading1Char">
    <w:name w:val="Heading 1 Char"/>
    <w:link w:val="Heading1"/>
    <w:rsid w:val="005C4041"/>
    <w:rPr>
      <w:rFonts w:ascii="Arial" w:eastAsia="MS PGothic" w:hAnsi="Arial" w:cs="Times New Roman"/>
      <w:b/>
      <w:bCs/>
      <w:color w:val="3476B1"/>
      <w:sz w:val="28"/>
      <w:szCs w:val="28"/>
    </w:rPr>
  </w:style>
  <w:style w:type="character" w:customStyle="1" w:styleId="Heading2Char">
    <w:name w:val="Heading 2 Char"/>
    <w:link w:val="Heading2"/>
    <w:semiHidden/>
    <w:rsid w:val="005C4041"/>
    <w:rPr>
      <w:rFonts w:ascii="Arial" w:eastAsia="MS PGothic" w:hAnsi="Arial" w:cs="Times New Roman"/>
      <w:b/>
      <w:bCs/>
      <w:color w:val="629DD1"/>
      <w:sz w:val="26"/>
      <w:szCs w:val="26"/>
    </w:rPr>
  </w:style>
  <w:style w:type="character" w:customStyle="1" w:styleId="Heading3Char">
    <w:name w:val="Heading 3 Char"/>
    <w:link w:val="Heading3"/>
    <w:semiHidden/>
    <w:rsid w:val="005C4041"/>
    <w:rPr>
      <w:rFonts w:ascii="Arial" w:eastAsia="MS PGothic" w:hAnsi="Arial" w:cs="Times New Roman"/>
      <w:b/>
      <w:bCs/>
      <w:color w:val="629DD1"/>
      <w:sz w:val="18"/>
    </w:rPr>
  </w:style>
  <w:style w:type="character" w:customStyle="1" w:styleId="Heading4Char">
    <w:name w:val="Heading 4 Char"/>
    <w:link w:val="Heading4"/>
    <w:semiHidden/>
    <w:rsid w:val="005C4041"/>
    <w:rPr>
      <w:rFonts w:ascii="Arial" w:eastAsia="MS PGothic" w:hAnsi="Arial" w:cs="Times New Roman"/>
      <w:b/>
      <w:bCs/>
      <w:i/>
      <w:iCs/>
      <w:color w:val="629DD1"/>
      <w:sz w:val="18"/>
    </w:rPr>
  </w:style>
  <w:style w:type="character" w:customStyle="1" w:styleId="Heading5Char">
    <w:name w:val="Heading 5 Char"/>
    <w:link w:val="Heading5"/>
    <w:semiHidden/>
    <w:rsid w:val="005C4041"/>
    <w:rPr>
      <w:rFonts w:ascii="Arial" w:eastAsia="MS PGothic" w:hAnsi="Arial" w:cs="Times New Roman"/>
      <w:color w:val="224E76"/>
      <w:sz w:val="18"/>
    </w:rPr>
  </w:style>
  <w:style w:type="character" w:customStyle="1" w:styleId="Heading6Char">
    <w:name w:val="Heading 6 Char"/>
    <w:link w:val="Heading6"/>
    <w:semiHidden/>
    <w:rsid w:val="005C4041"/>
    <w:rPr>
      <w:rFonts w:ascii="Arial" w:eastAsia="MS PGothic" w:hAnsi="Arial" w:cs="Times New Roman"/>
      <w:i/>
      <w:iCs/>
      <w:color w:val="224E76"/>
      <w:sz w:val="18"/>
    </w:rPr>
  </w:style>
  <w:style w:type="character" w:customStyle="1" w:styleId="Heading7Char">
    <w:name w:val="Heading 7 Char"/>
    <w:link w:val="Heading7"/>
    <w:semiHidden/>
    <w:rsid w:val="005C4041"/>
    <w:rPr>
      <w:rFonts w:ascii="Arial" w:eastAsia="MS PGothic" w:hAnsi="Arial" w:cs="Times New Roman"/>
      <w:i/>
      <w:iCs/>
      <w:color w:val="404040"/>
      <w:sz w:val="18"/>
    </w:rPr>
  </w:style>
  <w:style w:type="character" w:customStyle="1" w:styleId="Heading8Char">
    <w:name w:val="Heading 8 Char"/>
    <w:link w:val="Heading8"/>
    <w:semiHidden/>
    <w:rsid w:val="005C4041"/>
    <w:rPr>
      <w:rFonts w:ascii="Arial" w:eastAsia="MS PGothic" w:hAnsi="Arial" w:cs="Times New Roman"/>
      <w:color w:val="404040"/>
      <w:sz w:val="20"/>
      <w:szCs w:val="20"/>
    </w:rPr>
  </w:style>
  <w:style w:type="character" w:customStyle="1" w:styleId="Heading9Char">
    <w:name w:val="Heading 9 Char"/>
    <w:link w:val="Heading9"/>
    <w:semiHidden/>
    <w:rsid w:val="005C4041"/>
    <w:rPr>
      <w:rFonts w:ascii="Arial" w:eastAsia="MS PGothic" w:hAnsi="Arial" w:cs="Times New Roman"/>
      <w:i/>
      <w:iCs/>
      <w:color w:val="404040"/>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b/>
      <w:bCs/>
    </w:rPr>
  </w:style>
  <w:style w:type="paragraph" w:styleId="IntenseQuote">
    <w:name w:val="Intense Quote"/>
    <w:basedOn w:val="Normal"/>
    <w:next w:val="Normal"/>
    <w:link w:val="IntenseQuoteChar"/>
    <w:qFormat/>
    <w:rsid w:val="005C4041"/>
    <w:pPr>
      <w:pBdr>
        <w:bottom w:val="single" w:sz="4" w:space="4" w:color="629DD1"/>
      </w:pBdr>
      <w:spacing w:before="200" w:after="280"/>
      <w:ind w:left="936" w:right="936"/>
    </w:pPr>
    <w:rPr>
      <w:b/>
      <w:bCs/>
      <w:i/>
      <w:iCs/>
      <w:color w:val="629DD1"/>
    </w:rPr>
  </w:style>
  <w:style w:type="character" w:customStyle="1" w:styleId="IntenseQuoteChar">
    <w:name w:val="Intense Quote Char"/>
    <w:link w:val="IntenseQuote"/>
    <w:rsid w:val="005C4041"/>
    <w:rPr>
      <w:b/>
      <w:bCs/>
      <w:i/>
      <w:iCs/>
      <w:color w:val="629DD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link w:val="MessageHeader"/>
    <w:semiHidden/>
    <w:rsid w:val="005C4041"/>
    <w:rPr>
      <w:rFonts w:ascii="Arial" w:eastAsia="MS PGothic" w:hAnsi="Arial" w:cs="Times New Roman"/>
      <w:sz w:val="24"/>
      <w:szCs w:val="24"/>
      <w:shd w:val="pct20" w:color="auto" w:fill="auto"/>
    </w:rPr>
  </w:style>
  <w:style w:type="paragraph" w:styleId="NoSpacing">
    <w:name w:val="No Spacing"/>
    <w:qFormat/>
    <w:rsid w:val="005C4041"/>
    <w:rPr>
      <w:sz w:val="18"/>
      <w:szCs w:val="22"/>
    </w:rPr>
  </w:style>
  <w:style w:type="paragraph" w:styleId="NormalWeb">
    <w:name w:val="Normal (Web)"/>
    <w:basedOn w:val="Normal"/>
    <w:semiHidden/>
    <w:unhideWhenUsed/>
    <w:rsid w:val="005C4041"/>
    <w:rPr>
      <w:rFonts w:ascii="Times New Roman" w:hAnsi="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rPr>
  </w:style>
  <w:style w:type="character" w:customStyle="1" w:styleId="QuoteChar">
    <w:name w:val="Quote Char"/>
    <w:link w:val="Quote"/>
    <w:rsid w:val="005C4041"/>
    <w:rPr>
      <w:i/>
      <w:iCs/>
      <w:color w:val="000000"/>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link w:val="Salutation"/>
    <w:semiHidden/>
    <w:rsid w:val="005C4041"/>
    <w:rPr>
      <w:sz w:val="18"/>
    </w:rPr>
  </w:style>
  <w:style w:type="paragraph" w:styleId="Subtitle">
    <w:name w:val="Subtitle"/>
    <w:basedOn w:val="Normal"/>
    <w:next w:val="Normal"/>
    <w:link w:val="SubtitleChar"/>
    <w:qFormat/>
    <w:rsid w:val="005C4041"/>
    <w:pPr>
      <w:numPr>
        <w:ilvl w:val="1"/>
      </w:numPr>
    </w:pPr>
    <w:rPr>
      <w:i/>
      <w:iCs/>
      <w:color w:val="629DD1"/>
      <w:spacing w:val="15"/>
      <w:sz w:val="24"/>
      <w:szCs w:val="24"/>
    </w:rPr>
  </w:style>
  <w:style w:type="character" w:customStyle="1" w:styleId="SubtitleChar">
    <w:name w:val="Subtitle Char"/>
    <w:link w:val="Subtitle"/>
    <w:rsid w:val="005C4041"/>
    <w:rPr>
      <w:rFonts w:ascii="Arial" w:eastAsia="MS PGothic" w:hAnsi="Arial" w:cs="Times New Roman"/>
      <w:i/>
      <w:iCs/>
      <w:color w:val="629DD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29DD1"/>
      </w:pBdr>
      <w:spacing w:after="300"/>
      <w:contextualSpacing/>
    </w:pPr>
    <w:rPr>
      <w:color w:val="1B1D3D"/>
      <w:spacing w:val="5"/>
      <w:kern w:val="28"/>
      <w:sz w:val="52"/>
      <w:szCs w:val="52"/>
    </w:rPr>
  </w:style>
  <w:style w:type="character" w:customStyle="1" w:styleId="TitleChar">
    <w:name w:val="Title Char"/>
    <w:link w:val="Title"/>
    <w:rsid w:val="005C4041"/>
    <w:rPr>
      <w:rFonts w:ascii="Arial" w:eastAsia="MS PGothic" w:hAnsi="Arial" w:cs="Times New Roman"/>
      <w:color w:val="1B1D3D"/>
      <w:spacing w:val="5"/>
      <w:kern w:val="28"/>
      <w:sz w:val="52"/>
      <w:szCs w:val="52"/>
    </w:rPr>
  </w:style>
  <w:style w:type="paragraph" w:styleId="TOAHeading">
    <w:name w:val="toa heading"/>
    <w:basedOn w:val="Normal"/>
    <w:next w:val="Normal"/>
    <w:semiHidden/>
    <w:unhideWhenUsed/>
    <w:rsid w:val="005C4041"/>
    <w:pPr>
      <w:spacing w:before="120"/>
    </w:pPr>
    <w:rPr>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table" w:styleId="TableGrid">
    <w:name w:val="Table Grid"/>
    <w:basedOn w:val="TableNormal"/>
    <w:uiPriority w:val="59"/>
    <w:rsid w:val="00A81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9427A"/>
    <w:rPr>
      <w:color w:val="9454C3"/>
      <w:u w:val="single"/>
    </w:rPr>
  </w:style>
  <w:style w:type="character" w:styleId="FollowedHyperlink">
    <w:name w:val="FollowedHyperlink"/>
    <w:uiPriority w:val="99"/>
    <w:semiHidden/>
    <w:unhideWhenUsed/>
    <w:rsid w:val="006B1EBA"/>
    <w:rPr>
      <w:color w:val="954F72"/>
      <w:u w:val="single"/>
    </w:rPr>
  </w:style>
  <w:style w:type="character" w:styleId="UnresolvedMention">
    <w:name w:val="Unresolved Mention"/>
    <w:basedOn w:val="DefaultParagraphFont"/>
    <w:uiPriority w:val="99"/>
    <w:rsid w:val="001752A2"/>
    <w:rPr>
      <w:color w:val="605E5C"/>
      <w:shd w:val="clear" w:color="auto" w:fill="E1DFDD"/>
    </w:rPr>
  </w:style>
  <w:style w:type="character" w:styleId="PageNumber">
    <w:name w:val="page number"/>
    <w:basedOn w:val="DefaultParagraphFont"/>
    <w:uiPriority w:val="99"/>
    <w:semiHidden/>
    <w:unhideWhenUsed/>
    <w:rsid w:val="00854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legesourc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s-support.collegesource.com/article/19-importing-transfer-equivalencies"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216DC-ECB7-4844-AA6A-2148AB10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996</Words>
  <Characters>5921</Characters>
  <Application>Microsoft Office Word</Application>
  <DocSecurity>0</DocSecurity>
  <Lines>97</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6874</CharactersWithSpaces>
  <SharedDoc>false</SharedDoc>
  <HyperlinkBase/>
  <HLinks>
    <vt:vector size="18" baseType="variant">
      <vt:variant>
        <vt:i4>5374015</vt:i4>
      </vt:variant>
      <vt:variant>
        <vt:i4>0</vt:i4>
      </vt:variant>
      <vt:variant>
        <vt:i4>0</vt:i4>
      </vt:variant>
      <vt:variant>
        <vt:i4>5</vt:i4>
      </vt:variant>
      <vt:variant>
        <vt:lpwstr>http://www.collegesource.com/</vt:lpwstr>
      </vt:variant>
      <vt:variant>
        <vt:lpwstr/>
      </vt:variant>
      <vt:variant>
        <vt:i4>3866662</vt:i4>
      </vt:variant>
      <vt:variant>
        <vt:i4>3224</vt:i4>
      </vt:variant>
      <vt:variant>
        <vt:i4>1026</vt:i4>
      </vt:variant>
      <vt:variant>
        <vt:i4>1</vt:i4>
      </vt:variant>
      <vt:variant>
        <vt:lpwstr>Logo-CollegeSource-2-Small</vt:lpwstr>
      </vt:variant>
      <vt:variant>
        <vt:lpwstr/>
      </vt:variant>
      <vt:variant>
        <vt:i4>4456449</vt:i4>
      </vt:variant>
      <vt:variant>
        <vt:i4>3420</vt:i4>
      </vt:variant>
      <vt:variant>
        <vt:i4>1025</vt:i4>
      </vt:variant>
      <vt:variant>
        <vt:i4>1</vt:i4>
      </vt:variant>
      <vt:variant>
        <vt:lpwstr>Default 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 Fenton</dc:creator>
  <cp:keywords/>
  <dc:description/>
  <cp:lastModifiedBy>Jennifer Wright</cp:lastModifiedBy>
  <cp:revision>2</cp:revision>
  <cp:lastPrinted>2011-03-23T17:57:00Z</cp:lastPrinted>
  <dcterms:created xsi:type="dcterms:W3CDTF">2024-03-26T20:20:00Z</dcterms:created>
  <dcterms:modified xsi:type="dcterms:W3CDTF">2024-03-26T20:20:00Z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ac4fdeb9743c652d9cd9c4693a3cad159007fdcc7db9451d3e13710e3c4a29cf</vt:lpwstr>
  </property>
</Properties>
</file>