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582F" w14:textId="56D32321" w:rsidR="003324C6" w:rsidRPr="00C1529E" w:rsidRDefault="00C1529E" w:rsidP="00A55940">
      <w:pPr>
        <w:spacing w:line="276" w:lineRule="auto"/>
        <w:outlineLvl w:val="0"/>
        <w:rPr>
          <w:rFonts w:cs="Arial"/>
          <w:bCs/>
          <w:color w:val="000000"/>
          <w:sz w:val="20"/>
          <w:szCs w:val="20"/>
        </w:rPr>
      </w:pPr>
      <w:r w:rsidRPr="00C1529E">
        <w:rPr>
          <w:rFonts w:cs="Arial"/>
          <w:bCs/>
          <w:color w:val="000000"/>
          <w:sz w:val="20"/>
          <w:szCs w:val="20"/>
        </w:rPr>
        <w:fldChar w:fldCharType="begin"/>
      </w:r>
      <w:r w:rsidRPr="00C1529E">
        <w:rPr>
          <w:rFonts w:cs="Arial"/>
          <w:bCs/>
          <w:color w:val="000000"/>
          <w:sz w:val="20"/>
          <w:szCs w:val="20"/>
        </w:rPr>
        <w:instrText xml:space="preserve"> DATE \@ "MMMM d, yyyy" </w:instrText>
      </w:r>
      <w:r w:rsidRPr="00C1529E">
        <w:rPr>
          <w:rFonts w:cs="Arial"/>
          <w:bCs/>
          <w:color w:val="000000"/>
          <w:sz w:val="20"/>
          <w:szCs w:val="20"/>
        </w:rPr>
        <w:fldChar w:fldCharType="separate"/>
      </w:r>
      <w:r w:rsidR="00431A33">
        <w:rPr>
          <w:rFonts w:cs="Arial"/>
          <w:bCs/>
          <w:noProof/>
          <w:color w:val="000000"/>
          <w:sz w:val="20"/>
          <w:szCs w:val="20"/>
        </w:rPr>
        <w:t>March 26, 2024</w:t>
      </w:r>
      <w:r w:rsidRPr="00C1529E">
        <w:rPr>
          <w:rFonts w:cs="Arial"/>
          <w:bCs/>
          <w:color w:val="000000"/>
          <w:sz w:val="20"/>
          <w:szCs w:val="20"/>
        </w:rPr>
        <w:fldChar w:fldCharType="end"/>
      </w:r>
    </w:p>
    <w:p w14:paraId="5DD74216" w14:textId="260F2B39" w:rsidR="00C1529E" w:rsidRDefault="00C1529E" w:rsidP="00A55940">
      <w:pPr>
        <w:spacing w:line="276" w:lineRule="auto"/>
        <w:outlineLvl w:val="0"/>
        <w:rPr>
          <w:rFonts w:cs="Arial"/>
          <w:b/>
          <w:color w:val="000000"/>
          <w:sz w:val="20"/>
          <w:szCs w:val="20"/>
        </w:rPr>
      </w:pPr>
    </w:p>
    <w:p w14:paraId="0403BD71" w14:textId="77777777" w:rsidR="00C1529E" w:rsidRDefault="00C1529E" w:rsidP="00A55940">
      <w:pPr>
        <w:spacing w:line="276" w:lineRule="auto"/>
        <w:outlineLvl w:val="0"/>
        <w:rPr>
          <w:rFonts w:cs="Arial"/>
          <w:bCs/>
          <w:color w:val="000000"/>
          <w:sz w:val="20"/>
          <w:szCs w:val="20"/>
        </w:rPr>
      </w:pPr>
    </w:p>
    <w:p w14:paraId="24D4249C" w14:textId="1E875738" w:rsidR="00C1529E" w:rsidRPr="00C1529E" w:rsidRDefault="00C1529E" w:rsidP="00A55940">
      <w:pPr>
        <w:spacing w:line="276" w:lineRule="auto"/>
        <w:outlineLvl w:val="0"/>
        <w:rPr>
          <w:rFonts w:cs="Arial"/>
          <w:bCs/>
          <w:color w:val="000000"/>
          <w:sz w:val="20"/>
          <w:szCs w:val="20"/>
        </w:rPr>
      </w:pPr>
      <w:r w:rsidRPr="00C1529E">
        <w:rPr>
          <w:rFonts w:cs="Arial"/>
          <w:bCs/>
          <w:color w:val="000000"/>
          <w:sz w:val="20"/>
          <w:szCs w:val="20"/>
        </w:rPr>
        <w:t>To Whom It May Concern:</w:t>
      </w:r>
    </w:p>
    <w:p w14:paraId="72A84556" w14:textId="77777777" w:rsidR="000235EE" w:rsidRDefault="000235EE" w:rsidP="00A55940">
      <w:pPr>
        <w:spacing w:line="276" w:lineRule="auto"/>
        <w:rPr>
          <w:rFonts w:cs="Arial"/>
          <w:color w:val="000000"/>
          <w:sz w:val="20"/>
          <w:szCs w:val="20"/>
        </w:rPr>
      </w:pPr>
    </w:p>
    <w:p w14:paraId="5D401C35" w14:textId="77777777" w:rsidR="005642B7" w:rsidRDefault="005642B7" w:rsidP="00A55940">
      <w:pPr>
        <w:spacing w:line="276" w:lineRule="auto"/>
        <w:rPr>
          <w:rFonts w:cs="Arial"/>
          <w:color w:val="000000"/>
          <w:sz w:val="20"/>
          <w:szCs w:val="20"/>
        </w:rPr>
      </w:pPr>
    </w:p>
    <w:p w14:paraId="27551AC8" w14:textId="5FA6D1E4" w:rsidR="0008372E" w:rsidRPr="004106BA" w:rsidRDefault="00C16CDA" w:rsidP="00A55940">
      <w:pPr>
        <w:spacing w:line="276" w:lineRule="auto"/>
        <w:rPr>
          <w:rFonts w:cs="Arial"/>
          <w:color w:val="000000"/>
          <w:sz w:val="20"/>
          <w:szCs w:val="20"/>
        </w:rPr>
      </w:pPr>
      <w:r w:rsidRPr="004106BA">
        <w:rPr>
          <w:rFonts w:cs="Arial"/>
          <w:color w:val="000000"/>
          <w:sz w:val="20"/>
          <w:szCs w:val="20"/>
        </w:rPr>
        <w:t>T</w:t>
      </w:r>
      <w:r w:rsidR="003324C6">
        <w:rPr>
          <w:rFonts w:cs="Arial"/>
          <w:color w:val="000000"/>
          <w:sz w:val="20"/>
          <w:szCs w:val="20"/>
        </w:rPr>
        <w:t>ransferology</w:t>
      </w:r>
      <w:r w:rsidRPr="003324C6">
        <w:rPr>
          <w:rFonts w:cs="Arial"/>
          <w:color w:val="000000"/>
          <w:sz w:val="20"/>
          <w:szCs w:val="20"/>
          <w:vertAlign w:val="superscript"/>
        </w:rPr>
        <w:t>®</w:t>
      </w:r>
      <w:r w:rsidR="003324C6">
        <w:rPr>
          <w:rFonts w:cs="Arial"/>
          <w:color w:val="000000"/>
          <w:sz w:val="20"/>
          <w:szCs w:val="20"/>
        </w:rPr>
        <w:t xml:space="preserve">, the nationwide network </w:t>
      </w:r>
      <w:r w:rsidRPr="004106BA">
        <w:rPr>
          <w:rFonts w:cs="Arial"/>
          <w:color w:val="000000"/>
          <w:sz w:val="20"/>
          <w:szCs w:val="20"/>
        </w:rPr>
        <w:t>from CollegeSource</w:t>
      </w:r>
      <w:r w:rsidR="003324C6">
        <w:rPr>
          <w:rFonts w:cs="Arial"/>
          <w:color w:val="000000"/>
          <w:sz w:val="20"/>
          <w:szCs w:val="20"/>
        </w:rPr>
        <w:t>,</w:t>
      </w:r>
      <w:r w:rsidRPr="004106BA">
        <w:rPr>
          <w:rFonts w:cs="Arial"/>
          <w:color w:val="000000"/>
          <w:sz w:val="20"/>
          <w:szCs w:val="20"/>
        </w:rPr>
        <w:t xml:space="preserve"> is a hosted Software-as-a-Service (SaaS) used by </w:t>
      </w:r>
      <w:r w:rsidR="0008372E">
        <w:rPr>
          <w:rFonts w:cs="Arial"/>
          <w:color w:val="000000"/>
          <w:sz w:val="20"/>
          <w:szCs w:val="20"/>
        </w:rPr>
        <w:t xml:space="preserve">more than </w:t>
      </w:r>
      <w:r w:rsidR="004A3DE1">
        <w:rPr>
          <w:rFonts w:cs="Arial"/>
          <w:color w:val="000000"/>
          <w:sz w:val="20"/>
          <w:szCs w:val="20"/>
        </w:rPr>
        <w:t>four</w:t>
      </w:r>
      <w:r w:rsidR="003324C6">
        <w:rPr>
          <w:rFonts w:cs="Arial"/>
          <w:color w:val="000000"/>
          <w:sz w:val="20"/>
          <w:szCs w:val="20"/>
        </w:rPr>
        <w:t xml:space="preserve"> hundred </w:t>
      </w:r>
      <w:r w:rsidRPr="004106BA">
        <w:rPr>
          <w:rFonts w:cs="Arial"/>
          <w:color w:val="000000"/>
          <w:sz w:val="20"/>
          <w:szCs w:val="20"/>
        </w:rPr>
        <w:t xml:space="preserve">campuses of higher education nationwide to </w:t>
      </w:r>
      <w:r w:rsidR="003324C6">
        <w:rPr>
          <w:rFonts w:cs="Arial"/>
          <w:color w:val="000000"/>
          <w:sz w:val="20"/>
          <w:szCs w:val="20"/>
        </w:rPr>
        <w:t>publicize</w:t>
      </w:r>
      <w:r w:rsidRPr="004106BA">
        <w:rPr>
          <w:rFonts w:cs="Arial"/>
          <w:color w:val="000000"/>
          <w:sz w:val="20"/>
          <w:szCs w:val="20"/>
        </w:rPr>
        <w:t xml:space="preserve"> transfer credit </w:t>
      </w:r>
      <w:r w:rsidR="003324C6">
        <w:rPr>
          <w:rFonts w:cs="Arial"/>
          <w:color w:val="000000"/>
          <w:sz w:val="20"/>
          <w:szCs w:val="20"/>
        </w:rPr>
        <w:t>information</w:t>
      </w:r>
      <w:r w:rsidR="00F97B96">
        <w:rPr>
          <w:rFonts w:cs="Arial"/>
          <w:color w:val="000000"/>
          <w:sz w:val="20"/>
          <w:szCs w:val="20"/>
        </w:rPr>
        <w:t xml:space="preserve">, </w:t>
      </w:r>
      <w:r w:rsidR="00431A33">
        <w:rPr>
          <w:rFonts w:cs="Arial"/>
          <w:color w:val="000000"/>
          <w:sz w:val="20"/>
          <w:szCs w:val="20"/>
        </w:rPr>
        <w:t>kick-off</w:t>
      </w:r>
      <w:r w:rsidR="00F97B96">
        <w:rPr>
          <w:rFonts w:cs="Arial"/>
          <w:color w:val="000000"/>
          <w:sz w:val="20"/>
          <w:szCs w:val="20"/>
        </w:rPr>
        <w:t xml:space="preserve"> evaluations of unknown equivalencies, and advise students.</w:t>
      </w:r>
      <w:r w:rsidR="002D7CB7">
        <w:rPr>
          <w:rFonts w:cs="Arial"/>
          <w:color w:val="000000"/>
          <w:sz w:val="20"/>
          <w:szCs w:val="20"/>
        </w:rPr>
        <w:t xml:space="preserve"> </w:t>
      </w:r>
    </w:p>
    <w:p w14:paraId="059D1E4E" w14:textId="77777777" w:rsidR="000235EE" w:rsidRDefault="000235EE" w:rsidP="00A55940">
      <w:pPr>
        <w:tabs>
          <w:tab w:val="left" w:pos="2740"/>
        </w:tabs>
        <w:spacing w:line="276" w:lineRule="auto"/>
        <w:rPr>
          <w:rFonts w:cs="Arial"/>
          <w:color w:val="000000"/>
          <w:sz w:val="20"/>
          <w:szCs w:val="20"/>
        </w:rPr>
      </w:pPr>
    </w:p>
    <w:p w14:paraId="4E89D6E4" w14:textId="08953091" w:rsidR="00F97B96" w:rsidRDefault="00F97B96" w:rsidP="00A55940">
      <w:pPr>
        <w:tabs>
          <w:tab w:val="left" w:pos="2740"/>
        </w:tabs>
        <w:spacing w:line="276" w:lineRule="auto"/>
        <w:rPr>
          <w:rFonts w:cs="Arial"/>
          <w:color w:val="000000"/>
          <w:sz w:val="20"/>
          <w:szCs w:val="20"/>
        </w:rPr>
      </w:pPr>
      <w:r w:rsidRPr="00F97B96">
        <w:rPr>
          <w:rFonts w:cs="Arial"/>
          <w:color w:val="000000"/>
          <w:sz w:val="20"/>
          <w:szCs w:val="20"/>
        </w:rPr>
        <w:t>While other software packages may offer places to search and/or store equivalencies, publicize transfer information, or even a workflow for handling evaluation decisions, no other software on the market is built around the unique CollegeSource database.</w:t>
      </w:r>
    </w:p>
    <w:p w14:paraId="5E74F082" w14:textId="47AA12A0" w:rsidR="002D7CB7" w:rsidRDefault="002D7CB7" w:rsidP="00A55940">
      <w:pPr>
        <w:tabs>
          <w:tab w:val="left" w:pos="2740"/>
        </w:tabs>
        <w:spacing w:line="276" w:lineRule="auto"/>
        <w:rPr>
          <w:rFonts w:cs="Arial"/>
          <w:color w:val="000000"/>
          <w:sz w:val="20"/>
          <w:szCs w:val="20"/>
        </w:rPr>
      </w:pPr>
    </w:p>
    <w:p w14:paraId="62995785" w14:textId="77777777" w:rsidR="005642B7" w:rsidRDefault="005642B7" w:rsidP="00A55940">
      <w:pPr>
        <w:tabs>
          <w:tab w:val="left" w:pos="2740"/>
        </w:tabs>
        <w:spacing w:line="276" w:lineRule="auto"/>
        <w:rPr>
          <w:rFonts w:cs="Arial"/>
          <w:color w:val="000000"/>
          <w:sz w:val="20"/>
          <w:szCs w:val="20"/>
        </w:rPr>
      </w:pPr>
    </w:p>
    <w:p w14:paraId="53161BB5" w14:textId="1E0088DF" w:rsidR="002D7CB7" w:rsidRPr="002D7CB7" w:rsidRDefault="002D7CB7" w:rsidP="00A55940">
      <w:pPr>
        <w:tabs>
          <w:tab w:val="left" w:pos="2740"/>
        </w:tabs>
        <w:spacing w:line="276" w:lineRule="auto"/>
        <w:rPr>
          <w:rFonts w:cs="Arial"/>
          <w:b/>
          <w:bCs/>
          <w:color w:val="000000"/>
          <w:sz w:val="22"/>
        </w:rPr>
      </w:pPr>
      <w:r w:rsidRPr="002D7CB7">
        <w:rPr>
          <w:rFonts w:cs="Arial"/>
          <w:b/>
          <w:bCs/>
          <w:color w:val="000000"/>
          <w:sz w:val="22"/>
        </w:rPr>
        <w:t>Sole Source</w:t>
      </w:r>
    </w:p>
    <w:p w14:paraId="79A3A7AB" w14:textId="77777777" w:rsidR="00C16CDA" w:rsidRPr="004106BA" w:rsidRDefault="00C16CDA" w:rsidP="00A55940">
      <w:pPr>
        <w:tabs>
          <w:tab w:val="left" w:pos="2740"/>
        </w:tabs>
        <w:spacing w:line="276" w:lineRule="auto"/>
        <w:rPr>
          <w:rFonts w:cs="Arial"/>
          <w:color w:val="000000"/>
          <w:sz w:val="20"/>
          <w:szCs w:val="20"/>
        </w:rPr>
      </w:pPr>
      <w:r w:rsidRPr="004106BA">
        <w:rPr>
          <w:rFonts w:cs="Arial"/>
          <w:color w:val="000000"/>
          <w:sz w:val="20"/>
          <w:szCs w:val="20"/>
        </w:rPr>
        <w:tab/>
      </w:r>
    </w:p>
    <w:p w14:paraId="16644914" w14:textId="2D923765" w:rsidR="00C16CDA" w:rsidRPr="004106BA" w:rsidRDefault="00C16CDA" w:rsidP="00A55940">
      <w:pPr>
        <w:spacing w:line="276" w:lineRule="auto"/>
        <w:rPr>
          <w:rFonts w:cs="Arial"/>
          <w:color w:val="000000"/>
          <w:sz w:val="20"/>
          <w:szCs w:val="20"/>
        </w:rPr>
      </w:pPr>
      <w:r w:rsidRPr="004106BA">
        <w:rPr>
          <w:rFonts w:cs="Arial"/>
          <w:color w:val="000000"/>
          <w:sz w:val="20"/>
          <w:szCs w:val="20"/>
        </w:rPr>
        <w:t xml:space="preserve">The CollegeSource database is the </w:t>
      </w:r>
      <w:r w:rsidRPr="004106BA">
        <w:rPr>
          <w:rFonts w:cs="Arial"/>
          <w:i/>
          <w:color w:val="000000"/>
          <w:sz w:val="20"/>
          <w:szCs w:val="20"/>
        </w:rPr>
        <w:t>first</w:t>
      </w:r>
      <w:r w:rsidRPr="004106BA">
        <w:rPr>
          <w:rFonts w:cs="Arial"/>
          <w:color w:val="000000"/>
          <w:sz w:val="20"/>
          <w:szCs w:val="20"/>
        </w:rPr>
        <w:t xml:space="preserve"> and only </w:t>
      </w:r>
      <w:r w:rsidRPr="004106BA">
        <w:rPr>
          <w:rFonts w:cs="Arial"/>
          <w:i/>
          <w:color w:val="000000"/>
          <w:sz w:val="20"/>
          <w:szCs w:val="20"/>
        </w:rPr>
        <w:t>comprehensive</w:t>
      </w:r>
      <w:r w:rsidRPr="004106BA">
        <w:rPr>
          <w:rFonts w:cs="Arial"/>
          <w:color w:val="000000"/>
          <w:sz w:val="20"/>
          <w:szCs w:val="20"/>
        </w:rPr>
        <w:t xml:space="preserve"> database of course and catalog information. It houses </w:t>
      </w:r>
      <w:r w:rsidR="00973782">
        <w:rPr>
          <w:rFonts w:cs="Arial"/>
          <w:color w:val="000000"/>
          <w:sz w:val="20"/>
          <w:szCs w:val="20"/>
        </w:rPr>
        <w:t>over</w:t>
      </w:r>
      <w:r w:rsidR="00B17DE6">
        <w:rPr>
          <w:rFonts w:cs="Arial"/>
          <w:color w:val="000000"/>
          <w:sz w:val="20"/>
          <w:szCs w:val="20"/>
        </w:rPr>
        <w:t xml:space="preserve"> 1</w:t>
      </w:r>
      <w:r w:rsidR="00431A33">
        <w:rPr>
          <w:rFonts w:cs="Arial"/>
          <w:color w:val="000000"/>
          <w:sz w:val="20"/>
          <w:szCs w:val="20"/>
        </w:rPr>
        <w:t>57</w:t>
      </w:r>
      <w:r w:rsidRPr="004106BA">
        <w:rPr>
          <w:rFonts w:cs="Arial"/>
          <w:color w:val="000000"/>
          <w:sz w:val="20"/>
          <w:szCs w:val="20"/>
        </w:rPr>
        <w:t xml:space="preserve"> million course descriptions drawn from more than 1</w:t>
      </w:r>
      <w:r w:rsidR="00431A33">
        <w:rPr>
          <w:rFonts w:cs="Arial"/>
          <w:color w:val="000000"/>
          <w:sz w:val="20"/>
          <w:szCs w:val="20"/>
        </w:rPr>
        <w:t>86</w:t>
      </w:r>
      <w:r w:rsidRPr="004106BA">
        <w:rPr>
          <w:rFonts w:cs="Arial"/>
          <w:color w:val="000000"/>
          <w:sz w:val="20"/>
          <w:szCs w:val="20"/>
        </w:rPr>
        <w:t>,</w:t>
      </w:r>
      <w:r w:rsidR="00431A33">
        <w:rPr>
          <w:rFonts w:cs="Arial"/>
          <w:color w:val="000000"/>
          <w:sz w:val="20"/>
          <w:szCs w:val="20"/>
        </w:rPr>
        <w:t>6</w:t>
      </w:r>
      <w:r w:rsidRPr="004106BA">
        <w:rPr>
          <w:rFonts w:cs="Arial"/>
          <w:color w:val="000000"/>
          <w:sz w:val="20"/>
          <w:szCs w:val="20"/>
        </w:rPr>
        <w:t xml:space="preserve">00 current and archived catalogs. This data is collected annually, at the expense of CollegeSource, for every </w:t>
      </w:r>
      <w:r w:rsidR="00431A33">
        <w:rPr>
          <w:rFonts w:cs="Arial"/>
          <w:color w:val="000000"/>
          <w:sz w:val="20"/>
          <w:szCs w:val="20"/>
        </w:rPr>
        <w:t>higher education institution</w:t>
      </w:r>
      <w:r w:rsidRPr="004106BA">
        <w:rPr>
          <w:rFonts w:cs="Arial"/>
          <w:color w:val="000000"/>
          <w:sz w:val="20"/>
          <w:szCs w:val="20"/>
        </w:rPr>
        <w:t xml:space="preserve"> in the United States recognized by the US Secretary of Education, regardless of whether that </w:t>
      </w:r>
      <w:r w:rsidR="00431A33">
        <w:rPr>
          <w:rFonts w:cs="Arial"/>
          <w:color w:val="000000"/>
          <w:sz w:val="20"/>
          <w:szCs w:val="20"/>
        </w:rPr>
        <w:t>institution</w:t>
      </w:r>
      <w:r w:rsidRPr="004106BA">
        <w:rPr>
          <w:rFonts w:cs="Arial"/>
          <w:color w:val="000000"/>
          <w:sz w:val="20"/>
          <w:szCs w:val="20"/>
        </w:rPr>
        <w:t xml:space="preserve"> subscribes to a CollegeSource product or not. Annual collection of the data ensures that data is accurate</w:t>
      </w:r>
      <w:r w:rsidR="00431A33">
        <w:rPr>
          <w:rFonts w:cs="Arial"/>
          <w:color w:val="000000"/>
          <w:sz w:val="20"/>
          <w:szCs w:val="20"/>
        </w:rPr>
        <w:t xml:space="preserve"> and up-to-date</w:t>
      </w:r>
      <w:r w:rsidRPr="004106BA">
        <w:rPr>
          <w:rFonts w:cs="Arial"/>
          <w:color w:val="000000"/>
          <w:sz w:val="20"/>
          <w:szCs w:val="20"/>
        </w:rPr>
        <w:t xml:space="preserve"> and allows for sophisticated features, such as comparing any two editions of the same catalog title to highlight specific changes. No other database is comparable in that no other database on the market is comprehensive</w:t>
      </w:r>
      <w:r w:rsidR="00C62FDA" w:rsidRPr="003E786D">
        <w:rPr>
          <w:rFonts w:cs="Arial"/>
          <w:color w:val="000000"/>
          <w:sz w:val="20"/>
          <w:szCs w:val="20"/>
        </w:rPr>
        <w:t>;</w:t>
      </w:r>
      <w:r w:rsidR="00C62FDA">
        <w:rPr>
          <w:rFonts w:cs="Arial"/>
          <w:color w:val="000000"/>
          <w:sz w:val="20"/>
          <w:szCs w:val="20"/>
        </w:rPr>
        <w:t xml:space="preserve"> </w:t>
      </w:r>
      <w:r w:rsidRPr="004106BA">
        <w:rPr>
          <w:rFonts w:cs="Arial"/>
          <w:color w:val="000000"/>
          <w:sz w:val="20"/>
          <w:szCs w:val="20"/>
        </w:rPr>
        <w:t xml:space="preserve">most contain less than 10% of the source data that appears in the CollegeSource database. Also, no other database is updated annually; others who claim to hold college course data are typically vague about the date on which the data was </w:t>
      </w:r>
      <w:proofErr w:type="gramStart"/>
      <w:r w:rsidR="00EE4112" w:rsidRPr="004106BA">
        <w:rPr>
          <w:rFonts w:cs="Arial"/>
          <w:color w:val="000000"/>
          <w:sz w:val="20"/>
          <w:szCs w:val="20"/>
        </w:rPr>
        <w:t>collected</w:t>
      </w:r>
      <w:proofErr w:type="gramEnd"/>
      <w:r w:rsidRPr="004106BA">
        <w:rPr>
          <w:rFonts w:cs="Arial"/>
          <w:color w:val="000000"/>
          <w:sz w:val="20"/>
          <w:szCs w:val="20"/>
        </w:rPr>
        <w:t xml:space="preserve"> and in which catalog it appeared.</w:t>
      </w:r>
    </w:p>
    <w:p w14:paraId="74C391FD" w14:textId="77777777" w:rsidR="00C43820" w:rsidRDefault="00C43820" w:rsidP="00A55940">
      <w:pPr>
        <w:spacing w:line="276" w:lineRule="auto"/>
        <w:rPr>
          <w:rFonts w:cs="Arial"/>
          <w:color w:val="000000"/>
          <w:sz w:val="20"/>
          <w:szCs w:val="20"/>
        </w:rPr>
      </w:pPr>
    </w:p>
    <w:p w14:paraId="5BDF6F31" w14:textId="78BC6D02" w:rsidR="00C16CDA" w:rsidRDefault="00C43820" w:rsidP="00A55940">
      <w:pPr>
        <w:spacing w:line="276" w:lineRule="auto"/>
        <w:rPr>
          <w:rFonts w:cs="Arial"/>
          <w:color w:val="000000"/>
          <w:sz w:val="20"/>
          <w:szCs w:val="20"/>
        </w:rPr>
      </w:pPr>
      <w:r w:rsidRPr="00E4015D">
        <w:rPr>
          <w:rFonts w:cs="Arial"/>
          <w:color w:val="000000"/>
          <w:sz w:val="20"/>
          <w:szCs w:val="20"/>
        </w:rPr>
        <w:t xml:space="preserve">Transferology is the only real turn-key solution on the market because of </w:t>
      </w:r>
      <w:r w:rsidR="00C80841" w:rsidRPr="00E4015D">
        <w:rPr>
          <w:rFonts w:cs="Arial"/>
          <w:color w:val="000000"/>
          <w:sz w:val="20"/>
          <w:szCs w:val="20"/>
        </w:rPr>
        <w:t>its</w:t>
      </w:r>
      <w:r w:rsidRPr="00E4015D">
        <w:rPr>
          <w:rFonts w:cs="Arial"/>
          <w:color w:val="000000"/>
          <w:sz w:val="20"/>
          <w:szCs w:val="20"/>
        </w:rPr>
        <w:t xml:space="preserve"> underpinning database, SaaS platform, and integration with CollegeSource products TES</w:t>
      </w:r>
      <w:r w:rsidRPr="00E4015D">
        <w:rPr>
          <w:rFonts w:cs="Arial"/>
          <w:color w:val="000000"/>
          <w:sz w:val="20"/>
          <w:szCs w:val="20"/>
          <w:vertAlign w:val="superscript"/>
        </w:rPr>
        <w:t>®</w:t>
      </w:r>
      <w:r w:rsidRPr="00E4015D">
        <w:rPr>
          <w:rFonts w:cs="Arial"/>
          <w:color w:val="000000"/>
          <w:sz w:val="20"/>
          <w:szCs w:val="20"/>
        </w:rPr>
        <w:t xml:space="preserve"> (Transfer Evaluation System) and uAchieve</w:t>
      </w:r>
      <w:r w:rsidRPr="00E4015D">
        <w:rPr>
          <w:rFonts w:cs="Arial"/>
          <w:color w:val="000000"/>
          <w:sz w:val="20"/>
          <w:szCs w:val="20"/>
          <w:vertAlign w:val="superscript"/>
        </w:rPr>
        <w:t>®</w:t>
      </w:r>
      <w:r w:rsidRPr="00E4015D">
        <w:rPr>
          <w:rFonts w:cs="Arial"/>
          <w:color w:val="000000"/>
          <w:sz w:val="20"/>
          <w:szCs w:val="20"/>
        </w:rPr>
        <w:t xml:space="preserve"> Degree Audit. </w:t>
      </w:r>
      <w:r w:rsidR="00C16CDA" w:rsidRPr="00E4015D">
        <w:rPr>
          <w:rFonts w:cs="Arial"/>
          <w:color w:val="000000"/>
          <w:sz w:val="20"/>
          <w:szCs w:val="20"/>
        </w:rPr>
        <w:t xml:space="preserve">Other </w:t>
      </w:r>
      <w:r w:rsidRPr="00E4015D">
        <w:rPr>
          <w:rFonts w:cs="Arial"/>
          <w:color w:val="000000"/>
          <w:sz w:val="20"/>
          <w:szCs w:val="20"/>
        </w:rPr>
        <w:t xml:space="preserve">products </w:t>
      </w:r>
      <w:r w:rsidR="00C16CDA" w:rsidRPr="00E4015D">
        <w:rPr>
          <w:rFonts w:cs="Arial"/>
          <w:color w:val="000000"/>
          <w:sz w:val="20"/>
          <w:szCs w:val="20"/>
        </w:rPr>
        <w:t>require extensive and time-consuming data entry by the client</w:t>
      </w:r>
      <w:r w:rsidRPr="00E4015D">
        <w:rPr>
          <w:rFonts w:cs="Arial"/>
          <w:color w:val="000000"/>
          <w:sz w:val="20"/>
          <w:szCs w:val="20"/>
        </w:rPr>
        <w:t>, often requiring additional</w:t>
      </w:r>
      <w:r w:rsidR="00C16CDA" w:rsidRPr="00E4015D">
        <w:rPr>
          <w:rFonts w:cs="Arial"/>
          <w:color w:val="000000"/>
          <w:sz w:val="20"/>
          <w:szCs w:val="20"/>
        </w:rPr>
        <w:t xml:space="preserve"> technical resources</w:t>
      </w:r>
      <w:r w:rsidRPr="00E4015D">
        <w:rPr>
          <w:rFonts w:cs="Arial"/>
          <w:color w:val="000000"/>
          <w:sz w:val="20"/>
          <w:szCs w:val="20"/>
        </w:rPr>
        <w:t xml:space="preserve"> and </w:t>
      </w:r>
      <w:r w:rsidR="00C16CDA" w:rsidRPr="00E4015D">
        <w:rPr>
          <w:rFonts w:cs="Arial"/>
          <w:color w:val="000000"/>
          <w:sz w:val="20"/>
          <w:szCs w:val="20"/>
        </w:rPr>
        <w:t>expertise to implement.</w:t>
      </w:r>
      <w:r w:rsidR="00C16CDA" w:rsidRPr="004106BA">
        <w:rPr>
          <w:rFonts w:cs="Arial"/>
          <w:color w:val="000000"/>
          <w:sz w:val="20"/>
          <w:szCs w:val="20"/>
        </w:rPr>
        <w:t xml:space="preserve"> </w:t>
      </w:r>
    </w:p>
    <w:p w14:paraId="34ECC201" w14:textId="0F9CD611" w:rsidR="00562796" w:rsidRDefault="00562796" w:rsidP="00A55940">
      <w:pPr>
        <w:spacing w:line="276" w:lineRule="auto"/>
        <w:rPr>
          <w:rFonts w:cs="Arial"/>
          <w:color w:val="000000"/>
          <w:sz w:val="22"/>
        </w:rPr>
      </w:pPr>
    </w:p>
    <w:p w14:paraId="0ECCF5A3" w14:textId="77777777" w:rsidR="00A55940" w:rsidRPr="00A55940" w:rsidRDefault="00A55940" w:rsidP="00A55940">
      <w:pPr>
        <w:spacing w:line="276" w:lineRule="auto"/>
        <w:rPr>
          <w:rFonts w:cs="Arial"/>
          <w:color w:val="000000"/>
          <w:sz w:val="22"/>
        </w:rPr>
      </w:pPr>
    </w:p>
    <w:p w14:paraId="542EB1C7" w14:textId="5F5552FB" w:rsidR="00F97B96" w:rsidRPr="00A55940" w:rsidRDefault="00562796" w:rsidP="00A55940">
      <w:pPr>
        <w:spacing w:line="276" w:lineRule="auto"/>
        <w:rPr>
          <w:rFonts w:cs="Arial"/>
          <w:b/>
          <w:bCs/>
          <w:color w:val="000000"/>
          <w:sz w:val="22"/>
        </w:rPr>
      </w:pPr>
      <w:r w:rsidRPr="00A55940">
        <w:rPr>
          <w:rFonts w:cs="Arial"/>
          <w:b/>
          <w:bCs/>
          <w:color w:val="000000"/>
          <w:sz w:val="22"/>
        </w:rPr>
        <w:t xml:space="preserve">Usage </w:t>
      </w:r>
    </w:p>
    <w:p w14:paraId="4ABC47CF" w14:textId="341B9B5A" w:rsidR="00E666E1" w:rsidRDefault="00E666E1" w:rsidP="00A55940">
      <w:pPr>
        <w:spacing w:line="276" w:lineRule="auto"/>
        <w:rPr>
          <w:rFonts w:cs="Arial"/>
          <w:i/>
          <w:iCs/>
          <w:color w:val="000000"/>
          <w:sz w:val="20"/>
          <w:szCs w:val="20"/>
        </w:rPr>
      </w:pPr>
    </w:p>
    <w:p w14:paraId="2223ACA8" w14:textId="43FD5D54" w:rsidR="00E666E1" w:rsidRDefault="00E666E1" w:rsidP="00A55940">
      <w:pPr>
        <w:spacing w:line="276" w:lineRule="auto"/>
        <w:rPr>
          <w:rFonts w:cs="Arial"/>
          <w:color w:val="000000"/>
          <w:sz w:val="20"/>
          <w:szCs w:val="20"/>
        </w:rPr>
      </w:pPr>
      <w:r>
        <w:rPr>
          <w:rFonts w:cs="Arial"/>
          <w:color w:val="000000"/>
          <w:sz w:val="20"/>
          <w:szCs w:val="20"/>
        </w:rPr>
        <w:t xml:space="preserve">Students using Transferology leverage the CollegeSource database by being able to add their coursework from institutions nationwide. Subscribing institutions do not need to enter that data manually, a benefit that no other product on the market offers. Additionally, the integration between TES and Transferology allows credit evaluators to make decisions based on real student usage data, thus </w:t>
      </w:r>
      <w:r w:rsidR="000235EE">
        <w:rPr>
          <w:rFonts w:cs="Arial"/>
          <w:color w:val="000000"/>
          <w:sz w:val="20"/>
          <w:szCs w:val="20"/>
        </w:rPr>
        <w:t>creating a seamless and holistic transfer solution.</w:t>
      </w:r>
    </w:p>
    <w:p w14:paraId="0D752EF7" w14:textId="0C5E4BEF" w:rsidR="000235EE" w:rsidRDefault="000235EE" w:rsidP="00A55940">
      <w:pPr>
        <w:spacing w:line="276" w:lineRule="auto"/>
        <w:rPr>
          <w:rFonts w:cs="Arial"/>
          <w:color w:val="000000"/>
          <w:sz w:val="20"/>
          <w:szCs w:val="20"/>
        </w:rPr>
      </w:pPr>
      <w:r>
        <w:rPr>
          <w:rFonts w:cs="Arial"/>
          <w:color w:val="000000"/>
          <w:sz w:val="20"/>
          <w:szCs w:val="20"/>
        </w:rPr>
        <w:br w:type="page"/>
      </w:r>
    </w:p>
    <w:p w14:paraId="392B87FA" w14:textId="560C5C42" w:rsidR="00232E0A" w:rsidRPr="00232E0A" w:rsidRDefault="000235EE" w:rsidP="00A55940">
      <w:pPr>
        <w:spacing w:line="276" w:lineRule="auto"/>
        <w:rPr>
          <w:rFonts w:cs="Arial"/>
          <w:b/>
          <w:color w:val="000000"/>
          <w:sz w:val="22"/>
        </w:rPr>
      </w:pPr>
      <w:r w:rsidRPr="00A55940">
        <w:rPr>
          <w:rFonts w:cs="Arial"/>
          <w:b/>
          <w:color w:val="000000"/>
          <w:sz w:val="22"/>
        </w:rPr>
        <w:lastRenderedPageBreak/>
        <w:t>Key Statistics</w:t>
      </w:r>
    </w:p>
    <w:p w14:paraId="1893BC2F" w14:textId="77777777" w:rsidR="00F97B96" w:rsidRDefault="00F97B96" w:rsidP="00A55940">
      <w:pPr>
        <w:spacing w:line="276" w:lineRule="auto"/>
        <w:rPr>
          <w:rFonts w:cs="Arial"/>
          <w:color w:val="000000"/>
          <w:sz w:val="20"/>
          <w:szCs w:val="20"/>
        </w:rPr>
      </w:pP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585"/>
        <w:gridCol w:w="3060"/>
      </w:tblGrid>
      <w:tr w:rsidR="00232E0A" w14:paraId="70E2643F" w14:textId="77777777" w:rsidTr="00C15525">
        <w:trPr>
          <w:trHeight w:val="576"/>
        </w:trPr>
        <w:tc>
          <w:tcPr>
            <w:tcW w:w="4585" w:type="dxa"/>
            <w:shd w:val="clear" w:color="auto" w:fill="4DC0E3"/>
            <w:vAlign w:val="center"/>
          </w:tcPr>
          <w:p w14:paraId="01517BFF" w14:textId="77777777" w:rsidR="00232E0A" w:rsidRDefault="00232E0A" w:rsidP="00A55940">
            <w:pPr>
              <w:spacing w:line="276" w:lineRule="auto"/>
              <w:outlineLvl w:val="0"/>
              <w:rPr>
                <w:rFonts w:cs="Arial"/>
                <w:b/>
                <w:color w:val="000000"/>
                <w:sz w:val="20"/>
                <w:szCs w:val="20"/>
              </w:rPr>
            </w:pPr>
          </w:p>
        </w:tc>
        <w:tc>
          <w:tcPr>
            <w:tcW w:w="3060" w:type="dxa"/>
            <w:shd w:val="clear" w:color="auto" w:fill="4DC0E3"/>
            <w:vAlign w:val="center"/>
          </w:tcPr>
          <w:p w14:paraId="2E0E8AA7" w14:textId="771E1E38" w:rsidR="00232E0A" w:rsidRDefault="00232E0A" w:rsidP="00A55940">
            <w:pPr>
              <w:spacing w:line="276" w:lineRule="auto"/>
              <w:outlineLvl w:val="0"/>
              <w:rPr>
                <w:rFonts w:cs="Arial"/>
                <w:b/>
                <w:color w:val="000000"/>
                <w:sz w:val="20"/>
                <w:szCs w:val="20"/>
              </w:rPr>
            </w:pPr>
            <w:r>
              <w:rPr>
                <w:rFonts w:cs="Arial"/>
                <w:b/>
                <w:color w:val="000000"/>
                <w:sz w:val="20"/>
                <w:szCs w:val="20"/>
              </w:rPr>
              <w:t xml:space="preserve">Nationwide </w:t>
            </w:r>
            <w:r w:rsidRPr="000235EE">
              <w:rPr>
                <w:rFonts w:cs="Arial"/>
                <w:bCs/>
                <w:color w:val="000000"/>
                <w:sz w:val="20"/>
                <w:szCs w:val="20"/>
              </w:rPr>
              <w:t>(All Students)</w:t>
            </w:r>
          </w:p>
        </w:tc>
      </w:tr>
      <w:tr w:rsidR="00232E0A" w14:paraId="0E716367" w14:textId="77777777" w:rsidTr="00C15525">
        <w:trPr>
          <w:trHeight w:val="576"/>
        </w:trPr>
        <w:tc>
          <w:tcPr>
            <w:tcW w:w="4585" w:type="dxa"/>
            <w:shd w:val="clear" w:color="auto" w:fill="DEF2F9"/>
            <w:vAlign w:val="center"/>
          </w:tcPr>
          <w:p w14:paraId="382CA638" w14:textId="6BDAB604" w:rsidR="00232E0A" w:rsidRPr="00F97B96" w:rsidRDefault="00232E0A" w:rsidP="00A55940">
            <w:pPr>
              <w:spacing w:line="276" w:lineRule="auto"/>
              <w:outlineLvl w:val="0"/>
              <w:rPr>
                <w:rFonts w:cs="Arial"/>
                <w:b/>
                <w:color w:val="000000"/>
                <w:sz w:val="20"/>
                <w:szCs w:val="20"/>
              </w:rPr>
            </w:pPr>
            <w:r>
              <w:rPr>
                <w:rFonts w:cs="Arial"/>
                <w:b/>
                <w:color w:val="000000"/>
                <w:sz w:val="20"/>
                <w:szCs w:val="20"/>
              </w:rPr>
              <w:t xml:space="preserve">Transferology </w:t>
            </w:r>
            <w:r w:rsidRPr="00F97B96">
              <w:rPr>
                <w:rFonts w:cs="Arial"/>
                <w:b/>
                <w:color w:val="000000"/>
                <w:sz w:val="20"/>
                <w:szCs w:val="20"/>
              </w:rPr>
              <w:t>Subscribing Member Institutions</w:t>
            </w:r>
          </w:p>
        </w:tc>
        <w:tc>
          <w:tcPr>
            <w:tcW w:w="3060" w:type="dxa"/>
            <w:vAlign w:val="center"/>
          </w:tcPr>
          <w:p w14:paraId="23F18A63" w14:textId="31BD12A2" w:rsidR="00232E0A" w:rsidRPr="00562796" w:rsidRDefault="00E614EC" w:rsidP="00A55940">
            <w:pPr>
              <w:spacing w:line="276" w:lineRule="auto"/>
              <w:outlineLvl w:val="0"/>
              <w:rPr>
                <w:rFonts w:cs="Arial"/>
                <w:bCs/>
                <w:color w:val="000000"/>
                <w:sz w:val="20"/>
                <w:szCs w:val="20"/>
              </w:rPr>
            </w:pPr>
            <w:r>
              <w:rPr>
                <w:rFonts w:cs="Arial"/>
                <w:bCs/>
                <w:color w:val="000000"/>
                <w:sz w:val="20"/>
                <w:szCs w:val="20"/>
              </w:rPr>
              <w:t>400 +</w:t>
            </w:r>
          </w:p>
        </w:tc>
      </w:tr>
      <w:tr w:rsidR="00232E0A" w14:paraId="3F300707" w14:textId="77777777" w:rsidTr="00C15525">
        <w:trPr>
          <w:trHeight w:val="576"/>
        </w:trPr>
        <w:tc>
          <w:tcPr>
            <w:tcW w:w="4585" w:type="dxa"/>
            <w:shd w:val="clear" w:color="auto" w:fill="DEF2F9"/>
            <w:vAlign w:val="center"/>
          </w:tcPr>
          <w:p w14:paraId="231DCBE2" w14:textId="3D9371DF" w:rsidR="00232E0A" w:rsidRDefault="00232E0A" w:rsidP="00A55940">
            <w:pPr>
              <w:spacing w:line="276" w:lineRule="auto"/>
              <w:outlineLvl w:val="0"/>
              <w:rPr>
                <w:rFonts w:cs="Arial"/>
                <w:b/>
                <w:color w:val="000000"/>
                <w:sz w:val="20"/>
                <w:szCs w:val="20"/>
              </w:rPr>
            </w:pPr>
            <w:r>
              <w:rPr>
                <w:rFonts w:cs="Arial"/>
                <w:b/>
                <w:color w:val="000000"/>
                <w:sz w:val="20"/>
                <w:szCs w:val="20"/>
              </w:rPr>
              <w:t>TES Subscribing Institutions</w:t>
            </w:r>
          </w:p>
        </w:tc>
        <w:tc>
          <w:tcPr>
            <w:tcW w:w="3060" w:type="dxa"/>
            <w:vAlign w:val="center"/>
          </w:tcPr>
          <w:p w14:paraId="49236AA7" w14:textId="2E951362" w:rsidR="00232E0A" w:rsidRPr="00562796" w:rsidRDefault="00232E0A" w:rsidP="00A55940">
            <w:pPr>
              <w:spacing w:line="276" w:lineRule="auto"/>
              <w:outlineLvl w:val="0"/>
              <w:rPr>
                <w:rFonts w:cs="Arial"/>
                <w:bCs/>
                <w:color w:val="000000"/>
                <w:sz w:val="20"/>
                <w:szCs w:val="20"/>
              </w:rPr>
            </w:pPr>
            <w:r w:rsidRPr="00A55940">
              <w:rPr>
                <w:rFonts w:cs="Arial"/>
                <w:bCs/>
                <w:color w:val="000000"/>
                <w:sz w:val="20"/>
                <w:szCs w:val="20"/>
              </w:rPr>
              <w:t>1,</w:t>
            </w:r>
            <w:r w:rsidR="00E614EC">
              <w:rPr>
                <w:rFonts w:cs="Arial"/>
                <w:bCs/>
                <w:color w:val="000000"/>
                <w:sz w:val="20"/>
                <w:szCs w:val="20"/>
              </w:rPr>
              <w:t>62</w:t>
            </w:r>
            <w:r w:rsidR="001D0499">
              <w:rPr>
                <w:rFonts w:cs="Arial"/>
                <w:bCs/>
                <w:color w:val="000000"/>
                <w:sz w:val="20"/>
                <w:szCs w:val="20"/>
              </w:rPr>
              <w:t>0</w:t>
            </w:r>
            <w:r w:rsidR="00AC27D3">
              <w:rPr>
                <w:rFonts w:cs="Arial"/>
                <w:bCs/>
                <w:color w:val="000000"/>
                <w:sz w:val="20"/>
                <w:szCs w:val="20"/>
              </w:rPr>
              <w:t xml:space="preserve"> </w:t>
            </w:r>
            <w:r w:rsidR="001D0499">
              <w:rPr>
                <w:rFonts w:cs="Arial"/>
                <w:bCs/>
                <w:color w:val="000000"/>
                <w:sz w:val="20"/>
                <w:szCs w:val="20"/>
              </w:rPr>
              <w:t>+</w:t>
            </w:r>
          </w:p>
        </w:tc>
      </w:tr>
      <w:tr w:rsidR="00232E0A" w14:paraId="2EC8E521" w14:textId="77777777" w:rsidTr="00C15525">
        <w:trPr>
          <w:trHeight w:val="576"/>
        </w:trPr>
        <w:tc>
          <w:tcPr>
            <w:tcW w:w="4585" w:type="dxa"/>
            <w:shd w:val="clear" w:color="auto" w:fill="DEF2F9"/>
            <w:vAlign w:val="center"/>
          </w:tcPr>
          <w:p w14:paraId="2EFF2BA7" w14:textId="3B6079D4" w:rsidR="00232E0A" w:rsidRDefault="00232E0A" w:rsidP="00A55940">
            <w:pPr>
              <w:spacing w:line="276" w:lineRule="auto"/>
              <w:outlineLvl w:val="0"/>
              <w:rPr>
                <w:rFonts w:cs="Arial"/>
                <w:b/>
                <w:color w:val="000000"/>
                <w:sz w:val="20"/>
                <w:szCs w:val="20"/>
              </w:rPr>
            </w:pPr>
            <w:r>
              <w:rPr>
                <w:rFonts w:cs="Arial"/>
                <w:b/>
                <w:color w:val="000000"/>
                <w:sz w:val="20"/>
                <w:szCs w:val="20"/>
              </w:rPr>
              <w:t>Equivalencies Stored in Transferology</w:t>
            </w:r>
          </w:p>
        </w:tc>
        <w:tc>
          <w:tcPr>
            <w:tcW w:w="3060" w:type="dxa"/>
            <w:vAlign w:val="center"/>
          </w:tcPr>
          <w:p w14:paraId="0E3A7937" w14:textId="0982E13A" w:rsidR="00232E0A" w:rsidRPr="00562796" w:rsidRDefault="00431A33" w:rsidP="00A55940">
            <w:pPr>
              <w:spacing w:line="276" w:lineRule="auto"/>
              <w:outlineLvl w:val="0"/>
              <w:rPr>
                <w:rFonts w:cs="Arial"/>
                <w:bCs/>
                <w:color w:val="000000"/>
                <w:sz w:val="20"/>
                <w:szCs w:val="20"/>
              </w:rPr>
            </w:pPr>
            <w:r>
              <w:rPr>
                <w:rFonts w:cs="Arial"/>
                <w:bCs/>
                <w:color w:val="000000"/>
                <w:sz w:val="20"/>
                <w:szCs w:val="20"/>
              </w:rPr>
              <w:t xml:space="preserve">34.2 </w:t>
            </w:r>
            <w:r w:rsidR="00973782">
              <w:rPr>
                <w:rFonts w:cs="Arial"/>
                <w:bCs/>
                <w:color w:val="000000"/>
                <w:sz w:val="20"/>
                <w:szCs w:val="20"/>
              </w:rPr>
              <w:t>million</w:t>
            </w:r>
            <w:r w:rsidR="001D0499">
              <w:rPr>
                <w:rFonts w:cs="Arial"/>
                <w:bCs/>
                <w:color w:val="000000"/>
                <w:sz w:val="20"/>
                <w:szCs w:val="20"/>
              </w:rPr>
              <w:t xml:space="preserve"> +</w:t>
            </w:r>
          </w:p>
        </w:tc>
      </w:tr>
      <w:tr w:rsidR="00232E0A" w14:paraId="0E2A5F3F" w14:textId="77777777" w:rsidTr="00C15525">
        <w:trPr>
          <w:trHeight w:val="576"/>
        </w:trPr>
        <w:tc>
          <w:tcPr>
            <w:tcW w:w="4585" w:type="dxa"/>
            <w:shd w:val="clear" w:color="auto" w:fill="DEF2F9"/>
            <w:vAlign w:val="center"/>
          </w:tcPr>
          <w:p w14:paraId="6C0AF82E" w14:textId="6430195C" w:rsidR="00232E0A" w:rsidRDefault="00232E0A" w:rsidP="00A55940">
            <w:pPr>
              <w:spacing w:line="276" w:lineRule="auto"/>
              <w:outlineLvl w:val="0"/>
              <w:rPr>
                <w:rFonts w:cs="Arial"/>
                <w:b/>
                <w:color w:val="000000"/>
                <w:sz w:val="20"/>
                <w:szCs w:val="20"/>
              </w:rPr>
            </w:pPr>
            <w:r>
              <w:rPr>
                <w:rFonts w:cs="Arial"/>
                <w:b/>
                <w:color w:val="000000"/>
                <w:sz w:val="20"/>
                <w:szCs w:val="20"/>
              </w:rPr>
              <w:t>Student Searches**</w:t>
            </w:r>
          </w:p>
        </w:tc>
        <w:tc>
          <w:tcPr>
            <w:tcW w:w="3060" w:type="dxa"/>
            <w:vAlign w:val="center"/>
          </w:tcPr>
          <w:p w14:paraId="7BDFEAB4" w14:textId="64BB4BA6" w:rsidR="00232E0A" w:rsidRPr="00562796" w:rsidRDefault="00431A33" w:rsidP="00A55940">
            <w:pPr>
              <w:spacing w:line="276" w:lineRule="auto"/>
              <w:outlineLvl w:val="0"/>
              <w:rPr>
                <w:rFonts w:cs="Arial"/>
                <w:bCs/>
                <w:color w:val="000000"/>
                <w:sz w:val="20"/>
                <w:szCs w:val="20"/>
              </w:rPr>
            </w:pPr>
            <w:r>
              <w:rPr>
                <w:rFonts w:cs="Arial"/>
                <w:bCs/>
                <w:color w:val="000000"/>
                <w:sz w:val="20"/>
                <w:szCs w:val="20"/>
              </w:rPr>
              <w:t>11.0</w:t>
            </w:r>
            <w:r w:rsidR="001D0499">
              <w:rPr>
                <w:rFonts w:cs="Arial"/>
                <w:bCs/>
                <w:color w:val="000000"/>
                <w:sz w:val="20"/>
                <w:szCs w:val="20"/>
              </w:rPr>
              <w:t xml:space="preserve"> </w:t>
            </w:r>
            <w:r w:rsidR="00973782">
              <w:rPr>
                <w:rFonts w:cs="Arial"/>
                <w:bCs/>
                <w:color w:val="000000"/>
                <w:sz w:val="20"/>
                <w:szCs w:val="20"/>
              </w:rPr>
              <w:t>million</w:t>
            </w:r>
            <w:r w:rsidR="001D0499">
              <w:rPr>
                <w:rFonts w:cs="Arial"/>
                <w:bCs/>
                <w:color w:val="000000"/>
                <w:sz w:val="20"/>
                <w:szCs w:val="20"/>
              </w:rPr>
              <w:t xml:space="preserve"> +</w:t>
            </w:r>
          </w:p>
        </w:tc>
      </w:tr>
      <w:tr w:rsidR="00232E0A" w14:paraId="51B14CEF" w14:textId="77777777" w:rsidTr="00C15525">
        <w:trPr>
          <w:trHeight w:val="576"/>
        </w:trPr>
        <w:tc>
          <w:tcPr>
            <w:tcW w:w="4585" w:type="dxa"/>
            <w:shd w:val="clear" w:color="auto" w:fill="DEF2F9"/>
            <w:vAlign w:val="center"/>
          </w:tcPr>
          <w:p w14:paraId="0A94BAC6" w14:textId="2DB56495" w:rsidR="00232E0A" w:rsidRDefault="00232E0A" w:rsidP="00A55940">
            <w:pPr>
              <w:spacing w:line="276" w:lineRule="auto"/>
              <w:outlineLvl w:val="0"/>
              <w:rPr>
                <w:rFonts w:cs="Arial"/>
                <w:b/>
                <w:color w:val="000000"/>
                <w:sz w:val="20"/>
                <w:szCs w:val="20"/>
              </w:rPr>
            </w:pPr>
            <w:r w:rsidRPr="00562796">
              <w:rPr>
                <w:rFonts w:cs="Arial"/>
                <w:b/>
                <w:color w:val="000000"/>
                <w:sz w:val="20"/>
                <w:szCs w:val="20"/>
              </w:rPr>
              <w:t>Student courses added</w:t>
            </w:r>
          </w:p>
        </w:tc>
        <w:tc>
          <w:tcPr>
            <w:tcW w:w="3060" w:type="dxa"/>
            <w:vAlign w:val="center"/>
          </w:tcPr>
          <w:p w14:paraId="589B5BB2" w14:textId="15CDAAAF" w:rsidR="00232E0A" w:rsidRDefault="00431A33" w:rsidP="00A55940">
            <w:pPr>
              <w:spacing w:line="276" w:lineRule="auto"/>
              <w:outlineLvl w:val="0"/>
              <w:rPr>
                <w:rFonts w:cs="Arial"/>
                <w:bCs/>
                <w:color w:val="000000"/>
                <w:sz w:val="20"/>
                <w:szCs w:val="20"/>
              </w:rPr>
            </w:pPr>
            <w:r>
              <w:rPr>
                <w:rFonts w:cs="Arial"/>
                <w:bCs/>
                <w:color w:val="000000"/>
                <w:sz w:val="20"/>
                <w:szCs w:val="20"/>
              </w:rPr>
              <w:t>31.1</w:t>
            </w:r>
            <w:r w:rsidR="00AC27D3">
              <w:rPr>
                <w:rFonts w:cs="Arial"/>
                <w:bCs/>
                <w:color w:val="000000"/>
                <w:sz w:val="20"/>
                <w:szCs w:val="20"/>
              </w:rPr>
              <w:t xml:space="preserve"> million +</w:t>
            </w:r>
          </w:p>
          <w:p w14:paraId="06CDEAF7" w14:textId="2CA375D9" w:rsidR="00232E0A" w:rsidRPr="00562796" w:rsidRDefault="00232E0A" w:rsidP="00A55940">
            <w:pPr>
              <w:spacing w:line="276" w:lineRule="auto"/>
              <w:outlineLvl w:val="0"/>
              <w:rPr>
                <w:rFonts w:cs="Arial"/>
                <w:bCs/>
                <w:color w:val="000000"/>
                <w:sz w:val="20"/>
                <w:szCs w:val="20"/>
              </w:rPr>
            </w:pPr>
            <w:r w:rsidRPr="00A55940">
              <w:rPr>
                <w:rFonts w:cs="Arial"/>
                <w:bCs/>
                <w:i/>
                <w:iCs/>
                <w:color w:val="000000"/>
                <w:szCs w:val="18"/>
              </w:rPr>
              <w:t xml:space="preserve">(from </w:t>
            </w:r>
            <w:r w:rsidR="001D0499">
              <w:rPr>
                <w:rFonts w:cs="Arial"/>
                <w:bCs/>
                <w:i/>
                <w:iCs/>
                <w:color w:val="000000"/>
                <w:szCs w:val="18"/>
              </w:rPr>
              <w:t>over 5</w:t>
            </w:r>
            <w:r w:rsidR="00E614EC">
              <w:rPr>
                <w:rFonts w:cs="Arial"/>
                <w:bCs/>
                <w:i/>
                <w:iCs/>
                <w:color w:val="000000"/>
                <w:szCs w:val="18"/>
              </w:rPr>
              <w:t>.2</w:t>
            </w:r>
            <w:r w:rsidR="001D0499">
              <w:rPr>
                <w:rFonts w:cs="Arial"/>
                <w:bCs/>
                <w:i/>
                <w:iCs/>
                <w:color w:val="000000"/>
                <w:szCs w:val="18"/>
              </w:rPr>
              <w:t>k</w:t>
            </w:r>
            <w:r w:rsidRPr="00A55940">
              <w:rPr>
                <w:rFonts w:cs="Arial"/>
                <w:bCs/>
                <w:i/>
                <w:iCs/>
                <w:color w:val="000000"/>
                <w:szCs w:val="18"/>
              </w:rPr>
              <w:t xml:space="preserve"> different schools)</w:t>
            </w:r>
          </w:p>
        </w:tc>
      </w:tr>
      <w:tr w:rsidR="00232E0A" w14:paraId="358E3A3F" w14:textId="77777777" w:rsidTr="00C15525">
        <w:trPr>
          <w:trHeight w:val="576"/>
        </w:trPr>
        <w:tc>
          <w:tcPr>
            <w:tcW w:w="4585" w:type="dxa"/>
            <w:shd w:val="clear" w:color="auto" w:fill="DEF2F9"/>
            <w:vAlign w:val="center"/>
          </w:tcPr>
          <w:p w14:paraId="7A8D0A82" w14:textId="696310FC" w:rsidR="00232E0A" w:rsidRPr="00562796" w:rsidRDefault="00232E0A" w:rsidP="00A55940">
            <w:pPr>
              <w:spacing w:line="276" w:lineRule="auto"/>
              <w:outlineLvl w:val="0"/>
              <w:rPr>
                <w:rFonts w:cs="Arial"/>
                <w:b/>
                <w:color w:val="000000"/>
                <w:sz w:val="20"/>
                <w:szCs w:val="20"/>
              </w:rPr>
            </w:pPr>
            <w:r w:rsidRPr="00562796">
              <w:rPr>
                <w:rFonts w:cs="Arial"/>
                <w:b/>
                <w:color w:val="000000"/>
                <w:sz w:val="20"/>
                <w:szCs w:val="20"/>
              </w:rPr>
              <w:t>Search results</w:t>
            </w:r>
            <w:r w:rsidRPr="00A55940">
              <w:rPr>
                <w:rFonts w:cs="Arial"/>
                <w:b/>
                <w:sz w:val="20"/>
                <w:szCs w:val="20"/>
              </w:rPr>
              <w:t>*</w:t>
            </w:r>
          </w:p>
        </w:tc>
        <w:tc>
          <w:tcPr>
            <w:tcW w:w="3060" w:type="dxa"/>
            <w:vAlign w:val="center"/>
          </w:tcPr>
          <w:p w14:paraId="0FD90621" w14:textId="11C25A15" w:rsidR="00232E0A" w:rsidRPr="00562796" w:rsidRDefault="00431A33" w:rsidP="00A55940">
            <w:pPr>
              <w:spacing w:line="276" w:lineRule="auto"/>
              <w:outlineLvl w:val="0"/>
              <w:rPr>
                <w:rFonts w:cs="Arial"/>
                <w:bCs/>
                <w:color w:val="000000"/>
                <w:sz w:val="20"/>
                <w:szCs w:val="20"/>
              </w:rPr>
            </w:pPr>
            <w:r>
              <w:rPr>
                <w:rFonts w:cs="Arial"/>
                <w:bCs/>
                <w:color w:val="000000"/>
                <w:sz w:val="20"/>
                <w:szCs w:val="20"/>
              </w:rPr>
              <w:t>687.3</w:t>
            </w:r>
            <w:r w:rsidR="001D0499">
              <w:rPr>
                <w:rFonts w:cs="Arial"/>
                <w:bCs/>
                <w:color w:val="000000"/>
                <w:sz w:val="20"/>
                <w:szCs w:val="20"/>
              </w:rPr>
              <w:t xml:space="preserve"> </w:t>
            </w:r>
            <w:r w:rsidR="00973782">
              <w:rPr>
                <w:rFonts w:cs="Arial"/>
                <w:bCs/>
                <w:color w:val="000000"/>
                <w:sz w:val="20"/>
                <w:szCs w:val="20"/>
              </w:rPr>
              <w:t>m</w:t>
            </w:r>
            <w:r w:rsidR="001D0499">
              <w:rPr>
                <w:rFonts w:cs="Arial"/>
                <w:bCs/>
                <w:color w:val="000000"/>
                <w:sz w:val="20"/>
                <w:szCs w:val="20"/>
              </w:rPr>
              <w:t>illion +</w:t>
            </w:r>
            <w:r w:rsidR="00232E0A" w:rsidRPr="00562796">
              <w:rPr>
                <w:rFonts w:cs="Arial"/>
                <w:bCs/>
                <w:color w:val="000000"/>
                <w:sz w:val="20"/>
                <w:szCs w:val="20"/>
              </w:rPr>
              <w:t xml:space="preserve"> </w:t>
            </w:r>
          </w:p>
        </w:tc>
      </w:tr>
    </w:tbl>
    <w:p w14:paraId="2AA3ECD2" w14:textId="77777777" w:rsidR="001D0499" w:rsidRDefault="001D0499" w:rsidP="001D0499">
      <w:pPr>
        <w:spacing w:line="276" w:lineRule="auto"/>
        <w:outlineLvl w:val="0"/>
        <w:rPr>
          <w:rFonts w:cs="Arial"/>
          <w:bCs/>
          <w:i/>
          <w:iCs/>
          <w:color w:val="000000"/>
          <w:sz w:val="16"/>
          <w:szCs w:val="16"/>
        </w:rPr>
      </w:pPr>
    </w:p>
    <w:p w14:paraId="706CECC7" w14:textId="2CD8554D" w:rsidR="00E666E1" w:rsidRPr="001D0499" w:rsidRDefault="001D0499" w:rsidP="001D0499">
      <w:pPr>
        <w:spacing w:line="276" w:lineRule="auto"/>
        <w:outlineLvl w:val="0"/>
        <w:rPr>
          <w:rFonts w:cs="Arial"/>
          <w:bCs/>
          <w:i/>
          <w:iCs/>
          <w:color w:val="000000"/>
          <w:sz w:val="16"/>
          <w:szCs w:val="16"/>
        </w:rPr>
      </w:pPr>
      <w:r w:rsidRPr="001D0499">
        <w:rPr>
          <w:rFonts w:cs="Arial"/>
          <w:bCs/>
          <w:i/>
          <w:iCs/>
          <w:color w:val="000000"/>
          <w:sz w:val="16"/>
          <w:szCs w:val="16"/>
        </w:rPr>
        <w:t xml:space="preserve">Statistics from </w:t>
      </w:r>
      <w:r w:rsidR="00431A33">
        <w:rPr>
          <w:rFonts w:cs="Arial"/>
          <w:bCs/>
          <w:i/>
          <w:iCs/>
          <w:color w:val="000000"/>
          <w:sz w:val="16"/>
          <w:szCs w:val="16"/>
        </w:rPr>
        <w:t>March 2024</w:t>
      </w:r>
      <w:r w:rsidRPr="001D0499">
        <w:rPr>
          <w:rFonts w:cs="Arial"/>
          <w:bCs/>
          <w:i/>
          <w:iCs/>
          <w:color w:val="000000"/>
          <w:sz w:val="16"/>
          <w:szCs w:val="16"/>
        </w:rPr>
        <w:t>.</w:t>
      </w:r>
    </w:p>
    <w:p w14:paraId="173CBFAA" w14:textId="77777777" w:rsidR="00E666E1" w:rsidRDefault="00E666E1" w:rsidP="00A55940">
      <w:pPr>
        <w:spacing w:line="276" w:lineRule="auto"/>
        <w:outlineLvl w:val="0"/>
        <w:rPr>
          <w:rFonts w:cs="Arial"/>
          <w:b/>
          <w:color w:val="000000"/>
          <w:sz w:val="20"/>
          <w:szCs w:val="20"/>
        </w:rPr>
      </w:pPr>
    </w:p>
    <w:p w14:paraId="02435A94" w14:textId="77777777" w:rsidR="00A55940" w:rsidRPr="00A55940" w:rsidRDefault="00A55940" w:rsidP="00A55940">
      <w:pPr>
        <w:spacing w:line="276" w:lineRule="auto"/>
        <w:outlineLvl w:val="0"/>
        <w:rPr>
          <w:rFonts w:cs="Arial"/>
          <w:b/>
          <w:color w:val="000000"/>
          <w:sz w:val="22"/>
        </w:rPr>
      </w:pPr>
    </w:p>
    <w:p w14:paraId="6230AB34" w14:textId="622360BF" w:rsidR="00562796" w:rsidRPr="00A55940" w:rsidRDefault="00783B59" w:rsidP="00A55940">
      <w:pPr>
        <w:spacing w:line="276" w:lineRule="auto"/>
        <w:outlineLvl w:val="0"/>
        <w:rPr>
          <w:rFonts w:cs="Arial"/>
          <w:b/>
          <w:color w:val="000000"/>
          <w:sz w:val="22"/>
        </w:rPr>
      </w:pPr>
      <w:r w:rsidRPr="00A55940">
        <w:rPr>
          <w:rFonts w:cs="Arial"/>
          <w:b/>
          <w:color w:val="000000"/>
          <w:sz w:val="22"/>
        </w:rPr>
        <w:t>Key Features</w:t>
      </w:r>
      <w:r w:rsidR="00FD6035" w:rsidRPr="00A55940">
        <w:rPr>
          <w:rFonts w:cs="Arial"/>
          <w:b/>
          <w:color w:val="000000"/>
          <w:sz w:val="22"/>
        </w:rPr>
        <w:t xml:space="preserve"> of the Transferology Lab</w:t>
      </w:r>
    </w:p>
    <w:p w14:paraId="36BBEA97" w14:textId="77777777" w:rsidR="00A55940" w:rsidRDefault="00A55940" w:rsidP="00A55940">
      <w:pPr>
        <w:spacing w:line="276" w:lineRule="auto"/>
        <w:outlineLvl w:val="0"/>
        <w:rPr>
          <w:rFonts w:cs="Arial"/>
          <w:b/>
          <w:color w:val="000000"/>
          <w:sz w:val="20"/>
          <w:szCs w:val="20"/>
        </w:rPr>
      </w:pPr>
    </w:p>
    <w:p w14:paraId="594B505E" w14:textId="6AF6CE3C" w:rsidR="00FD6035" w:rsidRPr="00FD6035" w:rsidRDefault="00975B53" w:rsidP="00A55940">
      <w:pPr>
        <w:spacing w:line="276" w:lineRule="auto"/>
        <w:outlineLvl w:val="0"/>
        <w:rPr>
          <w:rFonts w:cs="Arial"/>
          <w:bCs/>
          <w:color w:val="000000"/>
          <w:sz w:val="20"/>
          <w:szCs w:val="20"/>
        </w:rPr>
      </w:pPr>
      <w:r w:rsidRPr="00E4015D">
        <w:rPr>
          <w:rFonts w:cs="Arial"/>
          <w:bCs/>
          <w:color w:val="000000"/>
          <w:sz w:val="20"/>
          <w:szCs w:val="20"/>
        </w:rPr>
        <w:t xml:space="preserve">Students and subscribers each receive a unique user experience. </w:t>
      </w:r>
      <w:r w:rsidR="00FD6035" w:rsidRPr="00E4015D">
        <w:rPr>
          <w:rFonts w:cs="Arial"/>
          <w:bCs/>
          <w:color w:val="000000"/>
          <w:sz w:val="20"/>
          <w:szCs w:val="20"/>
        </w:rPr>
        <w:t xml:space="preserve">Students use Transferology.com to explore, while </w:t>
      </w:r>
      <w:r w:rsidRPr="00E4015D">
        <w:rPr>
          <w:rFonts w:cs="Arial"/>
          <w:bCs/>
          <w:color w:val="000000"/>
          <w:sz w:val="20"/>
          <w:szCs w:val="20"/>
        </w:rPr>
        <w:t xml:space="preserve">staff </w:t>
      </w:r>
      <w:r w:rsidR="00FD6035" w:rsidRPr="00E4015D">
        <w:rPr>
          <w:rFonts w:cs="Arial"/>
          <w:bCs/>
          <w:color w:val="000000"/>
          <w:sz w:val="20"/>
          <w:szCs w:val="20"/>
        </w:rPr>
        <w:t>at the institution utilize TransferologyLab.com.</w:t>
      </w:r>
      <w:r w:rsidR="006103D7">
        <w:rPr>
          <w:rFonts w:cs="Arial"/>
          <w:bCs/>
          <w:color w:val="000000"/>
          <w:sz w:val="20"/>
          <w:szCs w:val="20"/>
        </w:rPr>
        <w:t xml:space="preserve"> </w:t>
      </w:r>
    </w:p>
    <w:p w14:paraId="0024DB09" w14:textId="77777777" w:rsidR="00562796" w:rsidRPr="004106BA" w:rsidRDefault="00562796" w:rsidP="00A55940">
      <w:pPr>
        <w:spacing w:line="276" w:lineRule="auto"/>
        <w:outlineLvl w:val="0"/>
        <w:rPr>
          <w:rFonts w:cs="Arial"/>
          <w:b/>
          <w:color w:val="000000"/>
          <w:sz w:val="20"/>
          <w:szCs w:val="20"/>
        </w:rPr>
      </w:pPr>
    </w:p>
    <w:p w14:paraId="20F3A663" w14:textId="7C900793" w:rsidR="00562796" w:rsidRPr="004106BA" w:rsidRDefault="00FD6035" w:rsidP="00A55940">
      <w:pPr>
        <w:spacing w:line="276" w:lineRule="auto"/>
        <w:ind w:left="360"/>
        <w:outlineLvl w:val="0"/>
        <w:rPr>
          <w:rFonts w:cs="Arial"/>
          <w:color w:val="000000"/>
          <w:sz w:val="20"/>
          <w:szCs w:val="20"/>
        </w:rPr>
      </w:pPr>
      <w:r>
        <w:rPr>
          <w:rFonts w:cs="Arial"/>
          <w:color w:val="000000"/>
          <w:sz w:val="20"/>
          <w:szCs w:val="20"/>
          <w:u w:val="single"/>
        </w:rPr>
        <w:t>Transfer Equivalencies</w:t>
      </w:r>
    </w:p>
    <w:p w14:paraId="28A5A3B3" w14:textId="112AB327" w:rsidR="00562796" w:rsidRDefault="00FD6035" w:rsidP="00A55940">
      <w:pPr>
        <w:spacing w:line="276" w:lineRule="auto"/>
        <w:ind w:left="360"/>
        <w:rPr>
          <w:rFonts w:cs="Arial"/>
          <w:color w:val="000000"/>
          <w:sz w:val="20"/>
          <w:szCs w:val="20"/>
        </w:rPr>
      </w:pPr>
      <w:r w:rsidRPr="00FD6035">
        <w:rPr>
          <w:rFonts w:cs="Arial"/>
          <w:color w:val="000000"/>
          <w:sz w:val="20"/>
          <w:szCs w:val="20"/>
        </w:rPr>
        <w:t xml:space="preserve">Quickly and easily view a comprehensive list of all the equivalencies a participating </w:t>
      </w:r>
      <w:r w:rsidR="00431A33">
        <w:rPr>
          <w:rFonts w:cs="Arial"/>
          <w:color w:val="000000"/>
          <w:sz w:val="20"/>
          <w:szCs w:val="20"/>
        </w:rPr>
        <w:t>institution</w:t>
      </w:r>
      <w:r w:rsidRPr="00FD6035">
        <w:rPr>
          <w:rFonts w:cs="Arial"/>
          <w:color w:val="000000"/>
          <w:sz w:val="20"/>
          <w:szCs w:val="20"/>
        </w:rPr>
        <w:t xml:space="preserve"> has defined, with the ability to control the transferring to and from fields. Filters allow you to narrow results by location, military, online, and department.</w:t>
      </w:r>
    </w:p>
    <w:p w14:paraId="58375409" w14:textId="77777777" w:rsidR="00FD6035" w:rsidRPr="004106BA" w:rsidRDefault="00FD6035" w:rsidP="00A55940">
      <w:pPr>
        <w:spacing w:line="276" w:lineRule="auto"/>
        <w:ind w:left="360"/>
        <w:rPr>
          <w:rFonts w:cs="Arial"/>
          <w:color w:val="000000"/>
          <w:sz w:val="20"/>
          <w:szCs w:val="20"/>
        </w:rPr>
      </w:pPr>
    </w:p>
    <w:p w14:paraId="1792A991" w14:textId="77777777" w:rsidR="00FD6035" w:rsidRDefault="00FD6035" w:rsidP="00A55940">
      <w:pPr>
        <w:spacing w:line="276" w:lineRule="auto"/>
        <w:ind w:left="360"/>
        <w:rPr>
          <w:rFonts w:cs="Arial"/>
          <w:color w:val="000000"/>
          <w:sz w:val="20"/>
          <w:szCs w:val="20"/>
          <w:u w:val="single"/>
        </w:rPr>
      </w:pPr>
      <w:r w:rsidRPr="00FD6035">
        <w:rPr>
          <w:rFonts w:cs="Arial"/>
          <w:color w:val="000000"/>
          <w:sz w:val="20"/>
          <w:szCs w:val="20"/>
          <w:u w:val="single"/>
        </w:rPr>
        <w:t xml:space="preserve">Replacement Courses </w:t>
      </w:r>
    </w:p>
    <w:p w14:paraId="420AAC8D" w14:textId="41E93651" w:rsidR="00562796" w:rsidRDefault="00FD6035" w:rsidP="00A55940">
      <w:pPr>
        <w:spacing w:line="276" w:lineRule="auto"/>
        <w:ind w:left="360"/>
        <w:rPr>
          <w:rFonts w:cs="Arial"/>
          <w:color w:val="000000"/>
          <w:sz w:val="20"/>
          <w:szCs w:val="20"/>
        </w:rPr>
      </w:pPr>
      <w:r w:rsidRPr="00FD6035">
        <w:rPr>
          <w:rFonts w:cs="Arial"/>
          <w:color w:val="000000"/>
          <w:sz w:val="20"/>
          <w:szCs w:val="20"/>
        </w:rPr>
        <w:t xml:space="preserve">Advise students on courses they can take elsewhere that will transfer back to your institution. This reverse lookup makes it simple to see where else a student can take a course to satisfy </w:t>
      </w:r>
      <w:r w:rsidR="00431A33">
        <w:rPr>
          <w:rFonts w:cs="Arial"/>
          <w:color w:val="000000"/>
          <w:sz w:val="20"/>
          <w:szCs w:val="20"/>
        </w:rPr>
        <w:t xml:space="preserve">the </w:t>
      </w:r>
      <w:r w:rsidRPr="00FD6035">
        <w:rPr>
          <w:rFonts w:cs="Arial"/>
          <w:color w:val="000000"/>
          <w:sz w:val="20"/>
          <w:szCs w:val="20"/>
        </w:rPr>
        <w:t xml:space="preserve">requirements to complete their degree at your </w:t>
      </w:r>
      <w:r w:rsidR="00431A33">
        <w:rPr>
          <w:rFonts w:cs="Arial"/>
          <w:color w:val="000000"/>
          <w:sz w:val="20"/>
          <w:szCs w:val="20"/>
        </w:rPr>
        <w:t>institution</w:t>
      </w:r>
      <w:r w:rsidRPr="00FD6035">
        <w:rPr>
          <w:rFonts w:cs="Arial"/>
          <w:color w:val="000000"/>
          <w:sz w:val="20"/>
          <w:szCs w:val="20"/>
        </w:rPr>
        <w:t>.</w:t>
      </w:r>
    </w:p>
    <w:p w14:paraId="634BEA45" w14:textId="77777777" w:rsidR="00FD6035" w:rsidRPr="004106BA" w:rsidRDefault="00FD6035" w:rsidP="00A55940">
      <w:pPr>
        <w:spacing w:line="276" w:lineRule="auto"/>
        <w:ind w:left="360"/>
        <w:rPr>
          <w:rFonts w:cs="Arial"/>
          <w:color w:val="000000"/>
          <w:sz w:val="20"/>
          <w:szCs w:val="20"/>
          <w:u w:val="single"/>
        </w:rPr>
      </w:pPr>
    </w:p>
    <w:p w14:paraId="06F811DF" w14:textId="77777777" w:rsidR="00FD6035" w:rsidRDefault="00FD6035" w:rsidP="00A55940">
      <w:pPr>
        <w:spacing w:line="276" w:lineRule="auto"/>
        <w:ind w:left="360"/>
        <w:rPr>
          <w:rFonts w:cs="Arial"/>
          <w:color w:val="000000"/>
          <w:sz w:val="20"/>
          <w:szCs w:val="20"/>
          <w:u w:val="single"/>
        </w:rPr>
      </w:pPr>
      <w:r w:rsidRPr="00FD6035">
        <w:rPr>
          <w:rFonts w:cs="Arial"/>
          <w:color w:val="000000"/>
          <w:sz w:val="20"/>
          <w:szCs w:val="20"/>
          <w:u w:val="single"/>
        </w:rPr>
        <w:t xml:space="preserve">Transfer Pathways </w:t>
      </w:r>
    </w:p>
    <w:p w14:paraId="0F266816" w14:textId="167EFF72" w:rsidR="00562796" w:rsidRPr="004106BA" w:rsidRDefault="00FD6035" w:rsidP="00A55940">
      <w:pPr>
        <w:spacing w:line="276" w:lineRule="auto"/>
        <w:ind w:left="360"/>
        <w:rPr>
          <w:rFonts w:cs="Arial"/>
          <w:color w:val="000000"/>
          <w:sz w:val="20"/>
          <w:szCs w:val="20"/>
        </w:rPr>
      </w:pPr>
      <w:r w:rsidRPr="00FD6035">
        <w:rPr>
          <w:rFonts w:cs="Arial"/>
          <w:color w:val="000000"/>
          <w:sz w:val="20"/>
          <w:szCs w:val="20"/>
        </w:rPr>
        <w:t xml:space="preserve">Save time, streamline your advising workflow, and help students map their community college to </w:t>
      </w:r>
      <w:r w:rsidR="00431A33">
        <w:rPr>
          <w:rFonts w:cs="Arial"/>
          <w:color w:val="000000"/>
          <w:sz w:val="20"/>
          <w:szCs w:val="20"/>
        </w:rPr>
        <w:t xml:space="preserve">the </w:t>
      </w:r>
      <w:r w:rsidRPr="00FD6035">
        <w:rPr>
          <w:rFonts w:cs="Arial"/>
          <w:color w:val="000000"/>
          <w:sz w:val="20"/>
          <w:szCs w:val="20"/>
        </w:rPr>
        <w:t>four-year path using Course Bundles and Transfer Pathways. Create and reference common or unique transfer scenarios for students with Course Bundles. With highly useful, pre-approved avenues to a degree, students can explore Transfer Pathways to take courses that are not only transferable (taking advantage of partnership agreements), but also applicable to a real educational goal.</w:t>
      </w:r>
    </w:p>
    <w:p w14:paraId="4F73C4B2" w14:textId="77777777" w:rsidR="00562796" w:rsidRPr="004106BA" w:rsidRDefault="00562796" w:rsidP="00A55940">
      <w:pPr>
        <w:spacing w:line="276" w:lineRule="auto"/>
        <w:ind w:left="360"/>
        <w:rPr>
          <w:rFonts w:cs="Arial"/>
          <w:color w:val="000000"/>
          <w:sz w:val="20"/>
          <w:szCs w:val="20"/>
        </w:rPr>
      </w:pPr>
    </w:p>
    <w:p w14:paraId="5425A272" w14:textId="132D03B7" w:rsidR="00FD6035" w:rsidRDefault="00FD6035" w:rsidP="00A55940">
      <w:pPr>
        <w:spacing w:line="276" w:lineRule="auto"/>
        <w:ind w:left="360"/>
        <w:rPr>
          <w:rFonts w:cs="Arial"/>
          <w:color w:val="000000"/>
          <w:sz w:val="20"/>
          <w:szCs w:val="20"/>
          <w:u w:val="single"/>
        </w:rPr>
      </w:pPr>
      <w:r w:rsidRPr="00FD6035">
        <w:rPr>
          <w:rFonts w:cs="Arial"/>
          <w:color w:val="000000"/>
          <w:sz w:val="20"/>
          <w:szCs w:val="20"/>
          <w:u w:val="single"/>
        </w:rPr>
        <w:t xml:space="preserve">Reports and Statistics </w:t>
      </w:r>
    </w:p>
    <w:p w14:paraId="08DC4F18" w14:textId="2E33871C" w:rsidR="00562796" w:rsidRDefault="00FD6035" w:rsidP="00A55940">
      <w:pPr>
        <w:spacing w:line="276" w:lineRule="auto"/>
        <w:ind w:left="360"/>
        <w:rPr>
          <w:rFonts w:cs="Arial"/>
          <w:color w:val="000000"/>
          <w:sz w:val="20"/>
          <w:szCs w:val="20"/>
        </w:rPr>
      </w:pPr>
      <w:r w:rsidRPr="00FD6035">
        <w:rPr>
          <w:rFonts w:cs="Arial"/>
          <w:color w:val="000000"/>
          <w:sz w:val="20"/>
          <w:szCs w:val="20"/>
        </w:rPr>
        <w:t xml:space="preserve">Measure and manage your transfer-friendliness with our reports and statistics. The Popular Courses and Unknown Equivalencies reports allow you to see what courses students are interested in, so you can proactively make </w:t>
      </w:r>
      <w:r w:rsidRPr="00FD6035">
        <w:rPr>
          <w:rFonts w:cs="Arial"/>
          <w:color w:val="000000"/>
          <w:sz w:val="20"/>
          <w:szCs w:val="20"/>
        </w:rPr>
        <w:lastRenderedPageBreak/>
        <w:t>equivalencies and boost your placement (match percentage) in the results list. Other powerful reports allow you to monitor traffic, requests for information, profile views, program views, replacement courses, and results clicks.</w:t>
      </w:r>
    </w:p>
    <w:p w14:paraId="671E3D14" w14:textId="77777777" w:rsidR="00431A33" w:rsidRDefault="00431A33" w:rsidP="00A55940">
      <w:pPr>
        <w:spacing w:line="276" w:lineRule="auto"/>
        <w:ind w:left="360"/>
        <w:rPr>
          <w:rFonts w:cs="Arial"/>
          <w:color w:val="000000"/>
          <w:sz w:val="20"/>
          <w:szCs w:val="20"/>
        </w:rPr>
      </w:pPr>
    </w:p>
    <w:p w14:paraId="63CFA7AC" w14:textId="77777777" w:rsidR="00431A33" w:rsidRPr="00431A33" w:rsidRDefault="00431A33" w:rsidP="00431A33">
      <w:pPr>
        <w:spacing w:line="276" w:lineRule="auto"/>
        <w:ind w:left="360"/>
        <w:rPr>
          <w:rFonts w:cs="Arial"/>
          <w:color w:val="000000"/>
          <w:sz w:val="20"/>
          <w:szCs w:val="20"/>
          <w:u w:val="single"/>
        </w:rPr>
      </w:pPr>
      <w:r w:rsidRPr="00431A33">
        <w:rPr>
          <w:rFonts w:cs="Arial"/>
          <w:color w:val="000000"/>
          <w:sz w:val="20"/>
          <w:szCs w:val="20"/>
          <w:u w:val="single"/>
        </w:rPr>
        <w:t xml:space="preserve">Custom Landing Pages </w:t>
      </w:r>
    </w:p>
    <w:p w14:paraId="30606985" w14:textId="77777777" w:rsidR="00431A33" w:rsidRDefault="00431A33" w:rsidP="00431A33">
      <w:pPr>
        <w:spacing w:line="276" w:lineRule="auto"/>
        <w:ind w:left="360"/>
        <w:rPr>
          <w:rFonts w:cs="Arial"/>
          <w:color w:val="000000"/>
          <w:sz w:val="20"/>
          <w:szCs w:val="20"/>
        </w:rPr>
      </w:pPr>
      <w:r>
        <w:rPr>
          <w:rFonts w:cs="Arial"/>
          <w:color w:val="000000"/>
          <w:sz w:val="20"/>
          <w:szCs w:val="20"/>
        </w:rPr>
        <w:t>A</w:t>
      </w:r>
      <w:r w:rsidRPr="00431A33">
        <w:rPr>
          <w:rFonts w:cs="Arial"/>
          <w:color w:val="000000"/>
          <w:sz w:val="20"/>
          <w:szCs w:val="20"/>
        </w:rPr>
        <w:t xml:space="preserve">llow individual institutions to familiarize students with their </w:t>
      </w:r>
      <w:r>
        <w:rPr>
          <w:rFonts w:cs="Arial"/>
          <w:color w:val="000000"/>
          <w:sz w:val="20"/>
          <w:szCs w:val="20"/>
        </w:rPr>
        <w:t>institutions</w:t>
      </w:r>
      <w:r w:rsidRPr="00431A33">
        <w:rPr>
          <w:rFonts w:cs="Arial"/>
          <w:color w:val="000000"/>
          <w:sz w:val="20"/>
          <w:szCs w:val="20"/>
        </w:rPr>
        <w:t xml:space="preserve"> better through custom text, colors, logos, images, and a Quick Facts section. States and systems can also create landing pages, meaning promotion can occur through an individual institution landing page and one or more state/system pages.  </w:t>
      </w:r>
    </w:p>
    <w:p w14:paraId="09D303AF" w14:textId="77777777" w:rsidR="00FD6035" w:rsidRPr="004106BA" w:rsidRDefault="00FD6035" w:rsidP="00A55940">
      <w:pPr>
        <w:spacing w:line="276" w:lineRule="auto"/>
        <w:ind w:left="360"/>
        <w:rPr>
          <w:rFonts w:cs="Arial"/>
          <w:color w:val="000000"/>
          <w:sz w:val="20"/>
          <w:szCs w:val="20"/>
        </w:rPr>
      </w:pPr>
    </w:p>
    <w:p w14:paraId="3DC0B047" w14:textId="7E5F428D" w:rsidR="00FD6035" w:rsidRDefault="00FD6035" w:rsidP="00A55940">
      <w:pPr>
        <w:spacing w:line="276" w:lineRule="auto"/>
        <w:ind w:left="360"/>
        <w:rPr>
          <w:rFonts w:cs="Arial"/>
          <w:color w:val="000000"/>
          <w:sz w:val="20"/>
          <w:szCs w:val="20"/>
          <w:u w:val="single"/>
        </w:rPr>
      </w:pPr>
      <w:r w:rsidRPr="00FD6035">
        <w:rPr>
          <w:rFonts w:cs="Arial"/>
          <w:color w:val="000000"/>
          <w:sz w:val="20"/>
          <w:szCs w:val="20"/>
          <w:u w:val="single"/>
        </w:rPr>
        <w:t>Evaluate Faster with TES®</w:t>
      </w:r>
      <w:r w:rsidR="005A1E19">
        <w:rPr>
          <w:rFonts w:cs="Arial"/>
          <w:color w:val="000000"/>
          <w:sz w:val="20"/>
          <w:szCs w:val="20"/>
          <w:u w:val="single"/>
        </w:rPr>
        <w:t xml:space="preserve"> </w:t>
      </w:r>
      <w:proofErr w:type="gramStart"/>
      <w:r w:rsidR="005A1E19" w:rsidRPr="00E4015D">
        <w:rPr>
          <w:rFonts w:cs="Arial"/>
          <w:color w:val="000000"/>
          <w:sz w:val="20"/>
          <w:szCs w:val="20"/>
          <w:u w:val="single"/>
        </w:rPr>
        <w:t>Integration</w:t>
      </w:r>
      <w:proofErr w:type="gramEnd"/>
      <w:r w:rsidRPr="00FD6035">
        <w:rPr>
          <w:rFonts w:cs="Arial"/>
          <w:color w:val="000000"/>
          <w:sz w:val="20"/>
          <w:szCs w:val="20"/>
          <w:u w:val="single"/>
        </w:rPr>
        <w:t xml:space="preserve"> </w:t>
      </w:r>
    </w:p>
    <w:p w14:paraId="3705E44C" w14:textId="6900F1BB" w:rsidR="00562796" w:rsidRDefault="00FD6035" w:rsidP="00A55940">
      <w:pPr>
        <w:spacing w:line="276" w:lineRule="auto"/>
        <w:ind w:left="360"/>
        <w:rPr>
          <w:rFonts w:cs="Arial"/>
          <w:color w:val="000000"/>
          <w:sz w:val="20"/>
          <w:szCs w:val="20"/>
        </w:rPr>
      </w:pPr>
      <w:r w:rsidRPr="00E4015D">
        <w:rPr>
          <w:rFonts w:cs="Arial"/>
          <w:color w:val="000000"/>
          <w:sz w:val="20"/>
          <w:szCs w:val="20"/>
        </w:rPr>
        <w:t xml:space="preserve">Users designated as TES Evaluators may create evaluation tasks from courses appearing in </w:t>
      </w:r>
      <w:r w:rsidR="005A1E19" w:rsidRPr="00E4015D">
        <w:rPr>
          <w:rFonts w:cs="Arial"/>
          <w:color w:val="000000"/>
          <w:sz w:val="20"/>
          <w:szCs w:val="20"/>
        </w:rPr>
        <w:t>Transferology’s</w:t>
      </w:r>
      <w:r w:rsidR="005A1E19">
        <w:rPr>
          <w:rFonts w:cs="Arial"/>
          <w:color w:val="000000"/>
          <w:sz w:val="20"/>
          <w:szCs w:val="20"/>
        </w:rPr>
        <w:t xml:space="preserve"> </w:t>
      </w:r>
      <w:r w:rsidRPr="00FD6035">
        <w:rPr>
          <w:rFonts w:cs="Arial"/>
          <w:color w:val="000000"/>
          <w:sz w:val="20"/>
          <w:szCs w:val="20"/>
        </w:rPr>
        <w:t>Course Bundles and Unknown Equivalencies, streamlining the transfer process based on actual student interest!</w:t>
      </w:r>
      <w:r w:rsidR="00232E0A">
        <w:rPr>
          <w:rFonts w:cs="Arial"/>
          <w:color w:val="000000"/>
          <w:sz w:val="20"/>
          <w:szCs w:val="20"/>
        </w:rPr>
        <w:t xml:space="preserve"> </w:t>
      </w:r>
      <w:r w:rsidRPr="00FD6035">
        <w:rPr>
          <w:rFonts w:cs="Arial"/>
          <w:color w:val="000000"/>
          <w:sz w:val="20"/>
          <w:szCs w:val="20"/>
        </w:rPr>
        <w:t>Equivalency guides created in TES may also be automatically imported into Transferology for display.</w:t>
      </w:r>
    </w:p>
    <w:p w14:paraId="479FABB7" w14:textId="77777777" w:rsidR="00FD6035" w:rsidRPr="004106BA" w:rsidRDefault="00FD6035" w:rsidP="00A55940">
      <w:pPr>
        <w:spacing w:line="276" w:lineRule="auto"/>
        <w:ind w:left="360"/>
        <w:rPr>
          <w:rFonts w:cs="Arial"/>
          <w:color w:val="000000"/>
          <w:sz w:val="20"/>
          <w:szCs w:val="20"/>
        </w:rPr>
      </w:pPr>
    </w:p>
    <w:p w14:paraId="49E40C25" w14:textId="77777777" w:rsidR="00FD6035" w:rsidRDefault="00FD6035" w:rsidP="00A55940">
      <w:pPr>
        <w:spacing w:line="276" w:lineRule="auto"/>
        <w:ind w:left="360"/>
        <w:rPr>
          <w:rFonts w:cs="Arial"/>
          <w:color w:val="000000"/>
          <w:sz w:val="20"/>
          <w:szCs w:val="20"/>
          <w:u w:val="single"/>
        </w:rPr>
      </w:pPr>
      <w:r w:rsidRPr="00FD6035">
        <w:rPr>
          <w:rFonts w:cs="Arial"/>
          <w:color w:val="000000"/>
          <w:sz w:val="20"/>
          <w:szCs w:val="20"/>
          <w:u w:val="single"/>
        </w:rPr>
        <w:t xml:space="preserve">View Programs with uAchieve® </w:t>
      </w:r>
    </w:p>
    <w:p w14:paraId="615FE621" w14:textId="1C7FA90C" w:rsidR="00562796" w:rsidRDefault="00FD6035" w:rsidP="00A55940">
      <w:pPr>
        <w:spacing w:line="276" w:lineRule="auto"/>
        <w:ind w:left="360"/>
        <w:rPr>
          <w:rFonts w:cs="Arial"/>
          <w:color w:val="000000"/>
          <w:sz w:val="20"/>
          <w:szCs w:val="20"/>
        </w:rPr>
      </w:pPr>
      <w:r w:rsidRPr="00FD6035">
        <w:rPr>
          <w:rFonts w:cs="Arial"/>
          <w:color w:val="000000"/>
          <w:sz w:val="20"/>
          <w:szCs w:val="20"/>
        </w:rPr>
        <w:t>Show students how their courses may apply (</w:t>
      </w:r>
      <w:r w:rsidR="00431A33">
        <w:rPr>
          <w:rFonts w:cs="Arial"/>
          <w:color w:val="000000"/>
          <w:sz w:val="20"/>
          <w:szCs w:val="20"/>
        </w:rPr>
        <w:t>What-if</w:t>
      </w:r>
      <w:r w:rsidRPr="00FD6035">
        <w:rPr>
          <w:rFonts w:cs="Arial"/>
          <w:color w:val="000000"/>
          <w:sz w:val="20"/>
          <w:szCs w:val="20"/>
        </w:rPr>
        <w:t xml:space="preserve"> scenarios) </w:t>
      </w:r>
      <w:r w:rsidR="00431A33">
        <w:rPr>
          <w:rFonts w:cs="Arial"/>
          <w:color w:val="000000"/>
          <w:sz w:val="20"/>
          <w:szCs w:val="20"/>
        </w:rPr>
        <w:t>to</w:t>
      </w:r>
      <w:r w:rsidRPr="00FD6035">
        <w:rPr>
          <w:rFonts w:cs="Arial"/>
          <w:color w:val="000000"/>
          <w:sz w:val="20"/>
          <w:szCs w:val="20"/>
        </w:rPr>
        <w:t xml:space="preserve"> various degree programs they may be considering. This feature is available for schools that have the uAchieve Degree Audit. This way, students can see a complete audit before enrolling.</w:t>
      </w:r>
    </w:p>
    <w:p w14:paraId="140CBF53" w14:textId="77777777" w:rsidR="00FD6035" w:rsidRPr="004106BA" w:rsidRDefault="00FD6035" w:rsidP="00A55940">
      <w:pPr>
        <w:spacing w:line="276" w:lineRule="auto"/>
        <w:ind w:left="360"/>
        <w:rPr>
          <w:rFonts w:cs="Arial"/>
          <w:color w:val="000000"/>
          <w:sz w:val="20"/>
          <w:szCs w:val="20"/>
        </w:rPr>
      </w:pPr>
    </w:p>
    <w:p w14:paraId="370C7B9F" w14:textId="4CB6F942" w:rsidR="00562796" w:rsidRPr="004106BA" w:rsidRDefault="00FD6035" w:rsidP="00A55940">
      <w:pPr>
        <w:spacing w:line="276" w:lineRule="auto"/>
        <w:ind w:left="360"/>
        <w:outlineLvl w:val="0"/>
        <w:rPr>
          <w:rFonts w:cs="Arial"/>
          <w:color w:val="000000"/>
          <w:sz w:val="20"/>
          <w:szCs w:val="20"/>
          <w:u w:val="single"/>
        </w:rPr>
      </w:pPr>
      <w:r>
        <w:rPr>
          <w:rFonts w:cs="Arial"/>
          <w:color w:val="000000"/>
          <w:sz w:val="20"/>
          <w:szCs w:val="20"/>
          <w:u w:val="single"/>
        </w:rPr>
        <w:t>Webinars</w:t>
      </w:r>
    </w:p>
    <w:p w14:paraId="3DA3818A" w14:textId="62F123E7" w:rsidR="00A55940" w:rsidRDefault="00562796" w:rsidP="00E4015D">
      <w:pPr>
        <w:spacing w:line="276" w:lineRule="auto"/>
        <w:ind w:left="360"/>
        <w:rPr>
          <w:rFonts w:cs="Arial"/>
          <w:color w:val="000000"/>
          <w:sz w:val="20"/>
          <w:szCs w:val="20"/>
        </w:rPr>
      </w:pPr>
      <w:r w:rsidRPr="004106BA">
        <w:rPr>
          <w:rFonts w:cs="Arial"/>
          <w:color w:val="000000"/>
          <w:sz w:val="20"/>
          <w:szCs w:val="20"/>
        </w:rPr>
        <w:t>CollegeSource conducts monthly interactive webinars at no cost to users, making training available year-round. Custom webinars are available on request.</w:t>
      </w:r>
    </w:p>
    <w:p w14:paraId="57FB3C3E" w14:textId="5C4302DE" w:rsidR="00E4015D" w:rsidRDefault="00E4015D" w:rsidP="00431A33">
      <w:pPr>
        <w:spacing w:line="276" w:lineRule="auto"/>
        <w:rPr>
          <w:rFonts w:cs="Arial"/>
          <w:color w:val="000000"/>
          <w:sz w:val="20"/>
          <w:szCs w:val="20"/>
        </w:rPr>
      </w:pPr>
    </w:p>
    <w:p w14:paraId="11D1F184" w14:textId="77777777" w:rsidR="00E4015D" w:rsidRPr="00E4015D" w:rsidRDefault="00E4015D" w:rsidP="00E4015D">
      <w:pPr>
        <w:spacing w:line="276" w:lineRule="auto"/>
        <w:ind w:left="360"/>
        <w:rPr>
          <w:rFonts w:cs="Arial"/>
          <w:color w:val="000000"/>
          <w:sz w:val="20"/>
          <w:szCs w:val="20"/>
        </w:rPr>
      </w:pPr>
    </w:p>
    <w:p w14:paraId="4AE66337" w14:textId="02923262" w:rsidR="00C16CDA" w:rsidRPr="00A55940" w:rsidRDefault="00FD6035" w:rsidP="00A55940">
      <w:pPr>
        <w:spacing w:line="276" w:lineRule="auto"/>
        <w:outlineLvl w:val="0"/>
        <w:rPr>
          <w:rFonts w:cs="Arial"/>
          <w:b/>
          <w:color w:val="000000"/>
          <w:sz w:val="22"/>
        </w:rPr>
      </w:pPr>
      <w:r w:rsidRPr="00A55940">
        <w:rPr>
          <w:rFonts w:cs="Arial"/>
          <w:b/>
          <w:color w:val="000000"/>
          <w:sz w:val="22"/>
        </w:rPr>
        <w:t>Implementation</w:t>
      </w:r>
    </w:p>
    <w:p w14:paraId="4203368A" w14:textId="77777777" w:rsidR="00A55940" w:rsidRPr="004106BA" w:rsidRDefault="00A55940" w:rsidP="00A55940">
      <w:pPr>
        <w:spacing w:line="276" w:lineRule="auto"/>
        <w:outlineLvl w:val="0"/>
        <w:rPr>
          <w:rFonts w:cs="Arial"/>
          <w:b/>
          <w:color w:val="000000"/>
          <w:sz w:val="20"/>
          <w:szCs w:val="20"/>
        </w:rPr>
      </w:pPr>
    </w:p>
    <w:p w14:paraId="5451B5F2" w14:textId="18CCDF10" w:rsidR="00C16CDA" w:rsidRDefault="00C16CDA" w:rsidP="00E4015D">
      <w:pPr>
        <w:spacing w:line="276" w:lineRule="auto"/>
        <w:outlineLvl w:val="0"/>
        <w:rPr>
          <w:rFonts w:cs="Arial"/>
          <w:color w:val="000000"/>
          <w:sz w:val="20"/>
          <w:szCs w:val="20"/>
        </w:rPr>
      </w:pPr>
      <w:r w:rsidRPr="00E4015D">
        <w:rPr>
          <w:rFonts w:cs="Arial"/>
          <w:color w:val="000000"/>
          <w:sz w:val="20"/>
          <w:szCs w:val="20"/>
        </w:rPr>
        <w:t>T</w:t>
      </w:r>
      <w:r w:rsidR="00EE4112" w:rsidRPr="00E4015D">
        <w:rPr>
          <w:rFonts w:cs="Arial"/>
          <w:color w:val="000000"/>
          <w:sz w:val="20"/>
          <w:szCs w:val="20"/>
        </w:rPr>
        <w:t>ransferology</w:t>
      </w:r>
      <w:r w:rsidRPr="00E4015D">
        <w:rPr>
          <w:rFonts w:cs="Arial"/>
          <w:color w:val="000000"/>
          <w:sz w:val="20"/>
          <w:szCs w:val="20"/>
        </w:rPr>
        <w:t xml:space="preserve"> is a Software as a Service (SaaS) that requires an annual subscription</w:t>
      </w:r>
      <w:r w:rsidR="00814962" w:rsidRPr="00E4015D">
        <w:rPr>
          <w:rFonts w:cs="Arial"/>
          <w:color w:val="000000"/>
          <w:sz w:val="20"/>
          <w:szCs w:val="20"/>
        </w:rPr>
        <w:t xml:space="preserve"> for institutions </w:t>
      </w:r>
      <w:r w:rsidR="00CD2EAA" w:rsidRPr="00E4015D">
        <w:rPr>
          <w:rFonts w:cs="Arial"/>
          <w:color w:val="000000"/>
          <w:sz w:val="20"/>
          <w:szCs w:val="20"/>
        </w:rPr>
        <w:t xml:space="preserve">and always remains </w:t>
      </w:r>
      <w:r w:rsidR="00814962" w:rsidRPr="00E4015D">
        <w:rPr>
          <w:rFonts w:cs="Arial"/>
          <w:color w:val="000000"/>
          <w:sz w:val="20"/>
          <w:szCs w:val="20"/>
        </w:rPr>
        <w:t>free to use for students</w:t>
      </w:r>
      <w:r w:rsidRPr="00E4015D">
        <w:rPr>
          <w:rFonts w:cs="Arial"/>
          <w:color w:val="000000"/>
          <w:sz w:val="20"/>
          <w:szCs w:val="20"/>
        </w:rPr>
        <w:t xml:space="preserve">. The service is hosted on a cloud-like virtualized server array with fail-over and backup redundancy. User access is available through any Internet browser, utilizing a unique username and password combination for each user. </w:t>
      </w:r>
      <w:r w:rsidR="002B2810" w:rsidRPr="00E4015D">
        <w:rPr>
          <w:rFonts w:cs="Arial"/>
          <w:color w:val="000000"/>
          <w:sz w:val="20"/>
          <w:szCs w:val="20"/>
        </w:rPr>
        <w:t xml:space="preserve">Accounts for new subscribers </w:t>
      </w:r>
      <w:r w:rsidRPr="00E4015D">
        <w:rPr>
          <w:rFonts w:cs="Arial"/>
          <w:color w:val="000000"/>
          <w:sz w:val="20"/>
          <w:szCs w:val="20"/>
        </w:rPr>
        <w:t>are created within</w:t>
      </w:r>
      <w:r w:rsidRPr="004106BA">
        <w:rPr>
          <w:rFonts w:cs="Arial"/>
          <w:color w:val="000000"/>
          <w:sz w:val="20"/>
          <w:szCs w:val="20"/>
        </w:rPr>
        <w:t xml:space="preserve"> 24-48 hours, requiring no effort from the institution</w:t>
      </w:r>
      <w:r w:rsidR="00814962" w:rsidRPr="00814962">
        <w:rPr>
          <w:rFonts w:cs="Arial"/>
          <w:color w:val="000000"/>
          <w:sz w:val="20"/>
          <w:szCs w:val="20"/>
        </w:rPr>
        <w:t>.</w:t>
      </w:r>
      <w:r w:rsidR="00814962">
        <w:rPr>
          <w:rFonts w:cs="Arial"/>
          <w:color w:val="000000"/>
          <w:sz w:val="20"/>
          <w:szCs w:val="20"/>
        </w:rPr>
        <w:t xml:space="preserve"> </w:t>
      </w:r>
      <w:r w:rsidRPr="004106BA">
        <w:rPr>
          <w:rFonts w:cs="Arial"/>
          <w:color w:val="000000"/>
          <w:sz w:val="20"/>
          <w:szCs w:val="20"/>
        </w:rPr>
        <w:t xml:space="preserve">Schools are provided with an administrator account, which is then used to generate all other user accounts. New users and their accompanying in-system rights can be established in seconds. Training for administrators (and all other </w:t>
      </w:r>
      <w:r w:rsidR="00FD6035">
        <w:rPr>
          <w:rFonts w:cs="Arial"/>
          <w:color w:val="000000"/>
          <w:sz w:val="20"/>
          <w:szCs w:val="20"/>
        </w:rPr>
        <w:t>Transferology</w:t>
      </w:r>
      <w:r w:rsidRPr="004106BA">
        <w:rPr>
          <w:rFonts w:cs="Arial"/>
          <w:color w:val="000000"/>
          <w:sz w:val="20"/>
          <w:szCs w:val="20"/>
        </w:rPr>
        <w:t xml:space="preserve"> roles) is </w:t>
      </w:r>
      <w:r w:rsidR="006103D7" w:rsidRPr="004106BA">
        <w:rPr>
          <w:rFonts w:cs="Arial"/>
          <w:color w:val="000000"/>
          <w:sz w:val="20"/>
          <w:szCs w:val="20"/>
        </w:rPr>
        <w:t>free and</w:t>
      </w:r>
      <w:r w:rsidRPr="004106BA">
        <w:rPr>
          <w:rFonts w:cs="Arial"/>
          <w:color w:val="000000"/>
          <w:sz w:val="20"/>
          <w:szCs w:val="20"/>
        </w:rPr>
        <w:t xml:space="preserve"> delivered via interactive webinars.</w:t>
      </w:r>
    </w:p>
    <w:p w14:paraId="3736BDB2" w14:textId="77777777" w:rsidR="00A55940" w:rsidRPr="004106BA" w:rsidRDefault="00A55940" w:rsidP="00A55940">
      <w:pPr>
        <w:spacing w:line="276" w:lineRule="auto"/>
        <w:rPr>
          <w:rFonts w:cs="Arial"/>
          <w:color w:val="000000"/>
          <w:sz w:val="20"/>
          <w:szCs w:val="20"/>
        </w:rPr>
      </w:pPr>
    </w:p>
    <w:p w14:paraId="5DBDE858" w14:textId="105025FA" w:rsidR="00C16CDA" w:rsidRPr="00A55940" w:rsidRDefault="00FD6035" w:rsidP="00A55940">
      <w:pPr>
        <w:spacing w:line="276" w:lineRule="auto"/>
        <w:outlineLvl w:val="0"/>
        <w:rPr>
          <w:rFonts w:cs="Arial"/>
          <w:b/>
          <w:color w:val="000000"/>
          <w:sz w:val="22"/>
        </w:rPr>
      </w:pPr>
      <w:r w:rsidRPr="00A55940">
        <w:rPr>
          <w:rFonts w:cs="Arial"/>
          <w:b/>
          <w:color w:val="000000"/>
          <w:sz w:val="22"/>
        </w:rPr>
        <w:t>Imports</w:t>
      </w:r>
    </w:p>
    <w:p w14:paraId="6DCD9320" w14:textId="77777777" w:rsidR="00A55940" w:rsidRPr="004106BA" w:rsidRDefault="00A55940" w:rsidP="00A55940">
      <w:pPr>
        <w:spacing w:line="276" w:lineRule="auto"/>
        <w:outlineLvl w:val="0"/>
        <w:rPr>
          <w:rFonts w:cs="Arial"/>
          <w:b/>
          <w:color w:val="000000"/>
          <w:sz w:val="20"/>
          <w:szCs w:val="20"/>
        </w:rPr>
      </w:pPr>
    </w:p>
    <w:p w14:paraId="5987533B" w14:textId="7DBCECB4" w:rsidR="00C16CDA" w:rsidRDefault="00C16CDA" w:rsidP="00A55940">
      <w:pPr>
        <w:spacing w:line="276" w:lineRule="auto"/>
        <w:rPr>
          <w:rFonts w:cs="Arial"/>
          <w:color w:val="000000"/>
          <w:sz w:val="20"/>
          <w:szCs w:val="20"/>
        </w:rPr>
      </w:pPr>
      <w:r w:rsidRPr="004106BA">
        <w:rPr>
          <w:rFonts w:cs="Arial"/>
          <w:color w:val="000000"/>
          <w:sz w:val="20"/>
          <w:szCs w:val="20"/>
        </w:rPr>
        <w:t xml:space="preserve">Schools that wish to load equivalencies into </w:t>
      </w:r>
      <w:r w:rsidR="00FD6035">
        <w:rPr>
          <w:rFonts w:cs="Arial"/>
          <w:color w:val="000000"/>
          <w:sz w:val="20"/>
          <w:szCs w:val="20"/>
        </w:rPr>
        <w:t>Transferology</w:t>
      </w:r>
      <w:r w:rsidRPr="004106BA">
        <w:rPr>
          <w:rFonts w:cs="Arial"/>
          <w:color w:val="000000"/>
          <w:sz w:val="20"/>
          <w:szCs w:val="20"/>
        </w:rPr>
        <w:t xml:space="preserve"> from a</w:t>
      </w:r>
      <w:r w:rsidR="00FD6035">
        <w:rPr>
          <w:rFonts w:cs="Arial"/>
          <w:color w:val="000000"/>
          <w:sz w:val="20"/>
          <w:szCs w:val="20"/>
        </w:rPr>
        <w:t xml:space="preserve"> </w:t>
      </w:r>
      <w:r w:rsidRPr="004106BA">
        <w:rPr>
          <w:rFonts w:cs="Arial"/>
          <w:color w:val="000000"/>
          <w:sz w:val="20"/>
          <w:szCs w:val="20"/>
        </w:rPr>
        <w:t xml:space="preserve">data source </w:t>
      </w:r>
      <w:r w:rsidR="00FD6035">
        <w:rPr>
          <w:rFonts w:cs="Arial"/>
          <w:color w:val="000000"/>
          <w:sz w:val="20"/>
          <w:szCs w:val="20"/>
        </w:rPr>
        <w:t>other than TES or uAchieve c</w:t>
      </w:r>
      <w:r w:rsidRPr="004106BA">
        <w:rPr>
          <w:rFonts w:cs="Arial"/>
          <w:color w:val="000000"/>
          <w:sz w:val="20"/>
          <w:szCs w:val="20"/>
        </w:rPr>
        <w:t>an arrange for imports</w:t>
      </w:r>
      <w:r w:rsidR="00904914">
        <w:rPr>
          <w:rFonts w:cs="Arial"/>
          <w:color w:val="000000"/>
          <w:sz w:val="20"/>
          <w:szCs w:val="20"/>
        </w:rPr>
        <w:t xml:space="preserve"> or utilize the Peoplesoft (T-Rex) Connector</w:t>
      </w:r>
      <w:r w:rsidRPr="004106BA">
        <w:rPr>
          <w:rFonts w:cs="Arial"/>
          <w:color w:val="000000"/>
          <w:sz w:val="20"/>
          <w:szCs w:val="20"/>
        </w:rPr>
        <w:t xml:space="preserve">. </w:t>
      </w:r>
      <w:r w:rsidR="00FD6035">
        <w:rPr>
          <w:rFonts w:cs="Arial"/>
          <w:color w:val="000000"/>
          <w:sz w:val="20"/>
          <w:szCs w:val="20"/>
        </w:rPr>
        <w:t>Two i</w:t>
      </w:r>
      <w:r w:rsidRPr="004106BA">
        <w:rPr>
          <w:rFonts w:cs="Arial"/>
          <w:color w:val="000000"/>
          <w:sz w:val="20"/>
          <w:szCs w:val="20"/>
        </w:rPr>
        <w:t xml:space="preserve">mports </w:t>
      </w:r>
      <w:r w:rsidR="00FD6035">
        <w:rPr>
          <w:rFonts w:cs="Arial"/>
          <w:color w:val="000000"/>
          <w:sz w:val="20"/>
          <w:szCs w:val="20"/>
        </w:rPr>
        <w:t>per year are part of the subscription agreement. Additional imports are available for</w:t>
      </w:r>
      <w:r w:rsidRPr="004106BA">
        <w:rPr>
          <w:rFonts w:cs="Arial"/>
          <w:color w:val="000000"/>
          <w:sz w:val="20"/>
          <w:szCs w:val="20"/>
        </w:rPr>
        <w:t xml:space="preserve"> a fee that covers all the necessary data handling, analysis, and communication required to complete the upload. </w:t>
      </w:r>
    </w:p>
    <w:p w14:paraId="28EA82D6" w14:textId="05D86F60" w:rsidR="005642B7" w:rsidRDefault="005642B7" w:rsidP="00A55940">
      <w:pPr>
        <w:spacing w:line="276" w:lineRule="auto"/>
        <w:rPr>
          <w:rFonts w:cs="Arial"/>
          <w:color w:val="000000"/>
          <w:sz w:val="20"/>
          <w:szCs w:val="20"/>
        </w:rPr>
      </w:pPr>
    </w:p>
    <w:p w14:paraId="5B357B1C" w14:textId="77777777" w:rsidR="00F90024" w:rsidRDefault="00F90024" w:rsidP="00A55940">
      <w:pPr>
        <w:spacing w:line="276" w:lineRule="auto"/>
        <w:rPr>
          <w:rFonts w:cs="Arial"/>
          <w:color w:val="000000"/>
          <w:sz w:val="20"/>
          <w:szCs w:val="20"/>
        </w:rPr>
      </w:pPr>
    </w:p>
    <w:p w14:paraId="545E0265" w14:textId="0D8E589F" w:rsidR="005642B7" w:rsidRDefault="005642B7" w:rsidP="005642B7">
      <w:pPr>
        <w:spacing w:line="276" w:lineRule="auto"/>
        <w:rPr>
          <w:rFonts w:cs="Arial"/>
          <w:color w:val="000000"/>
          <w:sz w:val="20"/>
          <w:szCs w:val="20"/>
        </w:rPr>
      </w:pPr>
      <w:r>
        <w:rPr>
          <w:rFonts w:cs="Arial"/>
          <w:color w:val="000000"/>
          <w:sz w:val="20"/>
          <w:szCs w:val="20"/>
        </w:rPr>
        <w:t>Sincerely,</w:t>
      </w:r>
    </w:p>
    <w:p w14:paraId="6098D904" w14:textId="62CA582D" w:rsidR="005642B7" w:rsidRDefault="005642B7" w:rsidP="005642B7">
      <w:pPr>
        <w:spacing w:line="276" w:lineRule="auto"/>
        <w:rPr>
          <w:rFonts w:cs="Arial"/>
          <w:color w:val="000000"/>
          <w:sz w:val="20"/>
          <w:szCs w:val="20"/>
        </w:rPr>
      </w:pPr>
    </w:p>
    <w:p w14:paraId="1CDA163E" w14:textId="33849C9A" w:rsidR="005642B7" w:rsidRDefault="001D0499" w:rsidP="005642B7">
      <w:pPr>
        <w:spacing w:line="276" w:lineRule="auto"/>
        <w:rPr>
          <w:rFonts w:cs="Arial"/>
          <w:color w:val="000000"/>
          <w:sz w:val="20"/>
          <w:szCs w:val="20"/>
        </w:rPr>
      </w:pPr>
      <w:r>
        <w:rPr>
          <w:rFonts w:cs="Arial"/>
          <w:color w:val="000000"/>
          <w:sz w:val="20"/>
          <w:szCs w:val="20"/>
        </w:rPr>
        <w:t>Alanna Fenton-Esquinas</w:t>
      </w:r>
    </w:p>
    <w:p w14:paraId="5158AD89" w14:textId="7CE5C238" w:rsidR="005642B7" w:rsidRDefault="0086608D" w:rsidP="005642B7">
      <w:pPr>
        <w:spacing w:line="276" w:lineRule="auto"/>
        <w:rPr>
          <w:rFonts w:cs="Arial"/>
          <w:color w:val="000000"/>
          <w:sz w:val="20"/>
          <w:szCs w:val="20"/>
        </w:rPr>
      </w:pPr>
      <w:r>
        <w:rPr>
          <w:rFonts w:cs="Arial"/>
          <w:color w:val="000000"/>
          <w:sz w:val="20"/>
          <w:szCs w:val="20"/>
        </w:rPr>
        <w:t>VP, Sales and Marketing</w:t>
      </w:r>
    </w:p>
    <w:p w14:paraId="3FB9F408" w14:textId="6DC10476" w:rsidR="00E4015D" w:rsidRPr="005642B7" w:rsidRDefault="005642B7" w:rsidP="005642B7">
      <w:pPr>
        <w:spacing w:line="276" w:lineRule="auto"/>
        <w:rPr>
          <w:rFonts w:cs="Arial"/>
          <w:color w:val="000000"/>
          <w:sz w:val="20"/>
          <w:szCs w:val="20"/>
        </w:rPr>
      </w:pPr>
      <w:r>
        <w:rPr>
          <w:rFonts w:cs="Arial"/>
          <w:color w:val="000000"/>
          <w:sz w:val="20"/>
          <w:szCs w:val="20"/>
        </w:rPr>
        <w:t>CollegeSource</w:t>
      </w:r>
    </w:p>
    <w:sectPr w:rsidR="00E4015D" w:rsidRPr="005642B7" w:rsidSect="00431A33">
      <w:headerReference w:type="default" r:id="rId8"/>
      <w:footerReference w:type="default" r:id="rId9"/>
      <w:headerReference w:type="first" r:id="rId10"/>
      <w:footerReference w:type="first" r:id="rId11"/>
      <w:pgSz w:w="12240" w:h="15840" w:code="1"/>
      <w:pgMar w:top="375"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58F6" w14:textId="77777777" w:rsidR="000374B9" w:rsidRDefault="000374B9">
      <w:r>
        <w:separator/>
      </w:r>
    </w:p>
  </w:endnote>
  <w:endnote w:type="continuationSeparator" w:id="0">
    <w:p w14:paraId="7D891484" w14:textId="77777777" w:rsidR="000374B9" w:rsidRDefault="0003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B41E" w14:textId="77777777" w:rsidR="00C16CDA" w:rsidRDefault="00431A33" w:rsidP="00C16CDA">
    <w:pPr>
      <w:pStyle w:val="Footer"/>
      <w:tabs>
        <w:tab w:val="clear" w:pos="4680"/>
        <w:tab w:val="clear" w:pos="9360"/>
        <w:tab w:val="center" w:pos="5400"/>
        <w:tab w:val="right" w:pos="10800"/>
      </w:tabs>
    </w:pPr>
    <w:r>
      <w:rPr>
        <w:noProof/>
      </w:rPr>
      <w:pict w14:anchorId="37FA6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Default Line" style="width:539.5pt;height:1.75pt;mso-width-percent:0;mso-height-percent:0;mso-width-percent:0;mso-height-percent:0" o:hrpct="0" o:hralign="center" o:hr="t">
          <v:imagedata r:id="rId1" o:title="Default Line"/>
        </v:shape>
      </w:pict>
    </w:r>
  </w:p>
  <w:p w14:paraId="04EC99E6" w14:textId="77777777" w:rsidR="00C16CDA" w:rsidRPr="00845F37" w:rsidRDefault="00C16CDA" w:rsidP="00C16CDA">
    <w:pPr>
      <w:pStyle w:val="Footer"/>
      <w:tabs>
        <w:tab w:val="clear" w:pos="4680"/>
        <w:tab w:val="clear" w:pos="9360"/>
        <w:tab w:val="center" w:pos="5400"/>
        <w:tab w:val="right" w:pos="10800"/>
      </w:tabs>
      <w:rPr>
        <w:color w:val="595959"/>
      </w:rPr>
    </w:pPr>
    <w:r w:rsidRPr="00C924FA">
      <w:rPr>
        <w:color w:val="595959"/>
      </w:rPr>
      <w:t>COLLEGESOURCE.COM</w:t>
    </w:r>
    <w:r w:rsidRPr="00845F37">
      <w:rPr>
        <w:color w:val="595959"/>
      </w:rPr>
      <w:tab/>
    </w:r>
  </w:p>
  <w:p w14:paraId="03D8CC79" w14:textId="77777777" w:rsidR="00C16CDA" w:rsidRPr="00C16CDA" w:rsidRDefault="00C16CDA" w:rsidP="00C16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FD12" w14:textId="77777777" w:rsidR="00A80B03" w:rsidRDefault="00431A33" w:rsidP="0047660A">
    <w:pPr>
      <w:pStyle w:val="Footer"/>
      <w:tabs>
        <w:tab w:val="clear" w:pos="4680"/>
        <w:tab w:val="clear" w:pos="9360"/>
        <w:tab w:val="center" w:pos="5400"/>
        <w:tab w:val="right" w:pos="10800"/>
      </w:tabs>
    </w:pPr>
    <w:r>
      <w:rPr>
        <w:noProof/>
      </w:rPr>
      <w:pict w14:anchorId="29902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Default Line" style="width:539.5pt;height:1.75pt;mso-width-percent:0;mso-height-percent:0;mso-width-percent:0;mso-height-percent:0" o:hrpct="0" o:hralign="center" o:hr="t">
          <v:imagedata r:id="rId1" o:title="Default Line"/>
        </v:shape>
      </w:pict>
    </w:r>
  </w:p>
  <w:p w14:paraId="36A0620C" w14:textId="77777777" w:rsidR="00A80B03" w:rsidRPr="00845F37" w:rsidRDefault="00A80B03" w:rsidP="0047660A">
    <w:pPr>
      <w:pStyle w:val="Footer"/>
      <w:tabs>
        <w:tab w:val="clear" w:pos="4680"/>
        <w:tab w:val="clear" w:pos="9360"/>
        <w:tab w:val="center" w:pos="5400"/>
        <w:tab w:val="right" w:pos="10800"/>
      </w:tabs>
      <w:rPr>
        <w:color w:val="595959"/>
      </w:rPr>
    </w:pPr>
    <w:r w:rsidRPr="00C924FA">
      <w:rPr>
        <w:color w:val="595959"/>
      </w:rPr>
      <w:t>COLLEGESOURCE.COM</w:t>
    </w:r>
    <w:r w:rsidRPr="00845F37">
      <w:rPr>
        <w:color w:val="59595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9D62" w14:textId="77777777" w:rsidR="000374B9" w:rsidRDefault="000374B9">
      <w:r>
        <w:separator/>
      </w:r>
    </w:p>
  </w:footnote>
  <w:footnote w:type="continuationSeparator" w:id="0">
    <w:p w14:paraId="58FFF172" w14:textId="77777777" w:rsidR="000374B9" w:rsidRDefault="0003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3BA7" w14:textId="77777777" w:rsidR="00C16CDA" w:rsidRDefault="00C16CDA" w:rsidP="00C16CDA"/>
  <w:tbl>
    <w:tblPr>
      <w:tblW w:w="0" w:type="auto"/>
      <w:tblLook w:val="04A0" w:firstRow="1" w:lastRow="0" w:firstColumn="1" w:lastColumn="0" w:noHBand="0" w:noVBand="1"/>
    </w:tblPr>
    <w:tblGrid>
      <w:gridCol w:w="5406"/>
      <w:gridCol w:w="5394"/>
    </w:tblGrid>
    <w:tr w:rsidR="00C16CDA" w14:paraId="5A7F2676" w14:textId="77777777" w:rsidTr="004106BA">
      <w:trPr>
        <w:trHeight w:val="963"/>
      </w:trPr>
      <w:tc>
        <w:tcPr>
          <w:tcW w:w="5508" w:type="dxa"/>
          <w:shd w:val="clear" w:color="auto" w:fill="auto"/>
        </w:tcPr>
        <w:p w14:paraId="6AC95ABE" w14:textId="77777777" w:rsidR="00C16CDA" w:rsidRDefault="00786ADC" w:rsidP="004106BA">
          <w:pPr>
            <w:pStyle w:val="NoSpacing"/>
          </w:pPr>
          <w:r>
            <w:rPr>
              <w:noProof/>
            </w:rPr>
            <w:drawing>
              <wp:inline distT="0" distB="0" distL="0" distR="0" wp14:anchorId="3B0D7A2E" wp14:editId="0F151CB1">
                <wp:extent cx="2387600" cy="342900"/>
                <wp:effectExtent l="0" t="0" r="0" b="0"/>
                <wp:docPr id="1991126989" name="Picture 1991126989" descr="Logo-CollegeSource-2-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CollegeSource-2-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342900"/>
                        </a:xfrm>
                        <a:prstGeom prst="rect">
                          <a:avLst/>
                        </a:prstGeom>
                        <a:noFill/>
                        <a:ln>
                          <a:noFill/>
                        </a:ln>
                      </pic:spPr>
                    </pic:pic>
                  </a:graphicData>
                </a:graphic>
              </wp:inline>
            </w:drawing>
          </w:r>
        </w:p>
      </w:tc>
      <w:tc>
        <w:tcPr>
          <w:tcW w:w="5508" w:type="dxa"/>
          <w:shd w:val="clear" w:color="auto" w:fill="auto"/>
        </w:tcPr>
        <w:tbl>
          <w:tblPr>
            <w:tblpPr w:leftFromText="180" w:rightFromText="180" w:vertAnchor="text" w:horzAnchor="page" w:tblpX="7921" w:tblpY="-359"/>
            <w:tblW w:w="3595" w:type="dxa"/>
            <w:tblCellMar>
              <w:left w:w="0" w:type="dxa"/>
              <w:right w:w="0" w:type="dxa"/>
            </w:tblCellMar>
            <w:tblLook w:val="04A0" w:firstRow="1" w:lastRow="0" w:firstColumn="1" w:lastColumn="0" w:noHBand="0" w:noVBand="1"/>
          </w:tblPr>
          <w:tblGrid>
            <w:gridCol w:w="1799"/>
            <w:gridCol w:w="8"/>
            <w:gridCol w:w="1780"/>
            <w:gridCol w:w="8"/>
          </w:tblGrid>
          <w:tr w:rsidR="00C16CDA" w:rsidRPr="009B007C" w14:paraId="4A2C2389" w14:textId="77777777" w:rsidTr="004106BA">
            <w:trPr>
              <w:trHeight w:val="923"/>
            </w:trPr>
            <w:tc>
              <w:tcPr>
                <w:tcW w:w="0" w:type="auto"/>
                <w:shd w:val="clear" w:color="auto" w:fill="auto"/>
              </w:tcPr>
              <w:p w14:paraId="49AB2C80" w14:textId="77777777" w:rsidR="00C16CDA" w:rsidRDefault="00C16CDA" w:rsidP="004106BA">
                <w:pPr>
                  <w:pStyle w:val="Contact"/>
                  <w:rPr>
                    <w:color w:val="595959"/>
                  </w:rPr>
                </w:pPr>
                <w:r w:rsidRPr="000724CB">
                  <w:rPr>
                    <w:color w:val="595959"/>
                  </w:rPr>
                  <w:t xml:space="preserve">Corporate </w:t>
                </w:r>
                <w:r>
                  <w:rPr>
                    <w:color w:val="595959"/>
                  </w:rPr>
                  <w:t>Office</w:t>
                </w:r>
              </w:p>
              <w:p w14:paraId="46D6FF8B" w14:textId="77777777" w:rsidR="00C16CDA" w:rsidRPr="000724CB" w:rsidRDefault="00C16CDA" w:rsidP="004106BA">
                <w:pPr>
                  <w:pStyle w:val="Contact"/>
                  <w:rPr>
                    <w:color w:val="595959"/>
                  </w:rPr>
                </w:pPr>
                <w:r w:rsidRPr="000724CB">
                  <w:rPr>
                    <w:color w:val="595959"/>
                  </w:rPr>
                  <w:t>8090 Engineer Rd.</w:t>
                </w:r>
                <w:r w:rsidRPr="000724CB">
                  <w:rPr>
                    <w:color w:val="595959"/>
                  </w:rPr>
                  <w:br/>
                  <w:t>San Diego, CA 92111</w:t>
                </w:r>
                <w:r w:rsidRPr="000724CB">
                  <w:rPr>
                    <w:color w:val="595959"/>
                  </w:rPr>
                  <w:br/>
                  <w:t>Phone: 800.854.2670</w:t>
                </w:r>
                <w:r w:rsidRPr="000724CB">
                  <w:rPr>
                    <w:color w:val="595959"/>
                  </w:rPr>
                  <w:br/>
                  <w:t>Fax: 858.278.8960</w:t>
                </w:r>
              </w:p>
            </w:tc>
            <w:tc>
              <w:tcPr>
                <w:tcW w:w="0" w:type="auto"/>
                <w:shd w:val="clear" w:color="auto" w:fill="auto"/>
              </w:tcPr>
              <w:p w14:paraId="4116578E" w14:textId="77777777" w:rsidR="00C16CDA" w:rsidRPr="000724CB" w:rsidRDefault="00C16CDA" w:rsidP="004106BA">
                <w:pPr>
                  <w:pStyle w:val="Header-Right"/>
                  <w:spacing w:line="276" w:lineRule="auto"/>
                  <w:jc w:val="left"/>
                  <w:rPr>
                    <w:color w:val="595959"/>
                    <w:sz w:val="14"/>
                    <w:szCs w:val="14"/>
                  </w:rPr>
                </w:pPr>
              </w:p>
            </w:tc>
            <w:tc>
              <w:tcPr>
                <w:tcW w:w="0" w:type="auto"/>
              </w:tcPr>
              <w:p w14:paraId="1129B72F" w14:textId="77777777" w:rsidR="00C16CDA" w:rsidRPr="000724CB" w:rsidRDefault="00C16CDA" w:rsidP="004106BA">
                <w:pPr>
                  <w:pStyle w:val="Contact"/>
                  <w:rPr>
                    <w:color w:val="595959"/>
                  </w:rPr>
                </w:pPr>
                <w:r w:rsidRPr="000724CB">
                  <w:rPr>
                    <w:color w:val="595959"/>
                  </w:rPr>
                  <w:t>1327 E. Kemper Rd.</w:t>
                </w:r>
              </w:p>
              <w:p w14:paraId="08653C53" w14:textId="77777777" w:rsidR="00C16CDA" w:rsidRPr="000724CB" w:rsidRDefault="00C16CDA" w:rsidP="004106BA">
                <w:pPr>
                  <w:pStyle w:val="Contact"/>
                  <w:rPr>
                    <w:color w:val="595959"/>
                  </w:rPr>
                </w:pPr>
                <w:r w:rsidRPr="000724CB">
                  <w:rPr>
                    <w:color w:val="595959"/>
                  </w:rPr>
                  <w:t>Suite 3000</w:t>
                </w:r>
                <w:r w:rsidRPr="000724CB">
                  <w:rPr>
                    <w:color w:val="595959"/>
                  </w:rPr>
                  <w:br/>
                  <w:t>Cincinnati, OH 45246</w:t>
                </w:r>
                <w:r w:rsidRPr="000724CB">
                  <w:rPr>
                    <w:color w:val="595959"/>
                  </w:rPr>
                  <w:br/>
                  <w:t>Phone: 513.834.8780</w:t>
                </w:r>
                <w:r w:rsidRPr="000724CB">
                  <w:rPr>
                    <w:color w:val="595959"/>
                  </w:rPr>
                  <w:br/>
                  <w:t>Fax: 513.834.8779</w:t>
                </w:r>
              </w:p>
            </w:tc>
            <w:tc>
              <w:tcPr>
                <w:tcW w:w="0" w:type="auto"/>
              </w:tcPr>
              <w:p w14:paraId="2EC8031C" w14:textId="77777777" w:rsidR="00C16CDA" w:rsidRPr="00A81E1D" w:rsidRDefault="00C16CDA" w:rsidP="004106BA">
                <w:pPr>
                  <w:pStyle w:val="Header-Right"/>
                  <w:spacing w:line="276" w:lineRule="auto"/>
                  <w:jc w:val="left"/>
                  <w:rPr>
                    <w:sz w:val="14"/>
                    <w:szCs w:val="14"/>
                  </w:rPr>
                </w:pPr>
              </w:p>
            </w:tc>
          </w:tr>
        </w:tbl>
        <w:p w14:paraId="1A5C1ADC" w14:textId="77777777" w:rsidR="00C16CDA" w:rsidRDefault="00C16CDA" w:rsidP="004106BA">
          <w:pPr>
            <w:pStyle w:val="NoSpacing"/>
          </w:pPr>
        </w:p>
      </w:tc>
    </w:tr>
  </w:tbl>
  <w:p w14:paraId="7BC46720" w14:textId="77777777" w:rsidR="00A80B03" w:rsidRPr="00C16CDA" w:rsidRDefault="00A80B03" w:rsidP="00C16CDA">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E501" w14:textId="77777777" w:rsidR="00CF07CC" w:rsidRDefault="00CF07CC"/>
  <w:tbl>
    <w:tblPr>
      <w:tblW w:w="0" w:type="auto"/>
      <w:tblLook w:val="04A0" w:firstRow="1" w:lastRow="0" w:firstColumn="1" w:lastColumn="0" w:noHBand="0" w:noVBand="1"/>
    </w:tblPr>
    <w:tblGrid>
      <w:gridCol w:w="5406"/>
      <w:gridCol w:w="5394"/>
    </w:tblGrid>
    <w:tr w:rsidR="00A80B03" w14:paraId="25936C8F" w14:textId="77777777" w:rsidTr="00CF07CC">
      <w:trPr>
        <w:trHeight w:val="963"/>
      </w:trPr>
      <w:tc>
        <w:tcPr>
          <w:tcW w:w="5508" w:type="dxa"/>
          <w:shd w:val="clear" w:color="auto" w:fill="auto"/>
        </w:tcPr>
        <w:p w14:paraId="09833D6B" w14:textId="77777777" w:rsidR="00A80B03" w:rsidRDefault="00786ADC" w:rsidP="000724CB">
          <w:pPr>
            <w:pStyle w:val="NoSpacing"/>
          </w:pPr>
          <w:r>
            <w:rPr>
              <w:noProof/>
            </w:rPr>
            <w:drawing>
              <wp:inline distT="0" distB="0" distL="0" distR="0" wp14:anchorId="6D067733" wp14:editId="2C17D697">
                <wp:extent cx="2387600" cy="342900"/>
                <wp:effectExtent l="0" t="0" r="0" b="0"/>
                <wp:docPr id="1221149816" name="Picture 1221149816" descr="Logo-CollegeSource-2-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CollegeSource-2-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342900"/>
                        </a:xfrm>
                        <a:prstGeom prst="rect">
                          <a:avLst/>
                        </a:prstGeom>
                        <a:noFill/>
                        <a:ln>
                          <a:noFill/>
                        </a:ln>
                      </pic:spPr>
                    </pic:pic>
                  </a:graphicData>
                </a:graphic>
              </wp:inline>
            </w:drawing>
          </w:r>
        </w:p>
      </w:tc>
      <w:tc>
        <w:tcPr>
          <w:tcW w:w="5508" w:type="dxa"/>
          <w:shd w:val="clear" w:color="auto" w:fill="auto"/>
        </w:tcPr>
        <w:tbl>
          <w:tblPr>
            <w:tblpPr w:leftFromText="180" w:rightFromText="180" w:vertAnchor="text" w:horzAnchor="page" w:tblpX="7921" w:tblpY="-359"/>
            <w:tblW w:w="3595" w:type="dxa"/>
            <w:tblCellMar>
              <w:left w:w="0" w:type="dxa"/>
              <w:right w:w="0" w:type="dxa"/>
            </w:tblCellMar>
            <w:tblLook w:val="04A0" w:firstRow="1" w:lastRow="0" w:firstColumn="1" w:lastColumn="0" w:noHBand="0" w:noVBand="1"/>
          </w:tblPr>
          <w:tblGrid>
            <w:gridCol w:w="1799"/>
            <w:gridCol w:w="8"/>
            <w:gridCol w:w="1780"/>
            <w:gridCol w:w="8"/>
          </w:tblGrid>
          <w:tr w:rsidR="00A80B03" w:rsidRPr="009B007C" w14:paraId="56DD5D23" w14:textId="77777777" w:rsidTr="0047660A">
            <w:trPr>
              <w:trHeight w:val="923"/>
            </w:trPr>
            <w:tc>
              <w:tcPr>
                <w:tcW w:w="0" w:type="auto"/>
                <w:shd w:val="clear" w:color="auto" w:fill="auto"/>
              </w:tcPr>
              <w:p w14:paraId="0AD7F47C" w14:textId="77777777" w:rsidR="00A80B03" w:rsidRDefault="00A80B03" w:rsidP="0047660A">
                <w:pPr>
                  <w:pStyle w:val="Contact"/>
                  <w:rPr>
                    <w:color w:val="595959"/>
                  </w:rPr>
                </w:pPr>
                <w:r w:rsidRPr="000724CB">
                  <w:rPr>
                    <w:color w:val="595959"/>
                  </w:rPr>
                  <w:t xml:space="preserve">Corporate </w:t>
                </w:r>
                <w:r>
                  <w:rPr>
                    <w:color w:val="595959"/>
                  </w:rPr>
                  <w:t>Office</w:t>
                </w:r>
              </w:p>
              <w:p w14:paraId="19CAFEE2" w14:textId="77777777" w:rsidR="00A80B03" w:rsidRPr="000724CB" w:rsidRDefault="00A80B03" w:rsidP="0047660A">
                <w:pPr>
                  <w:pStyle w:val="Contact"/>
                  <w:rPr>
                    <w:color w:val="595959"/>
                  </w:rPr>
                </w:pPr>
                <w:r w:rsidRPr="000724CB">
                  <w:rPr>
                    <w:color w:val="595959"/>
                  </w:rPr>
                  <w:t>8090 Engineer Rd.</w:t>
                </w:r>
                <w:r w:rsidRPr="000724CB">
                  <w:rPr>
                    <w:color w:val="595959"/>
                  </w:rPr>
                  <w:br/>
                  <w:t>San Diego, CA 92111</w:t>
                </w:r>
                <w:r w:rsidRPr="000724CB">
                  <w:rPr>
                    <w:color w:val="595959"/>
                  </w:rPr>
                  <w:br/>
                  <w:t>Phone: 800.854.2670</w:t>
                </w:r>
                <w:r w:rsidRPr="000724CB">
                  <w:rPr>
                    <w:color w:val="595959"/>
                  </w:rPr>
                  <w:br/>
                  <w:t>Fax: 858.278.8960</w:t>
                </w:r>
              </w:p>
            </w:tc>
            <w:tc>
              <w:tcPr>
                <w:tcW w:w="0" w:type="auto"/>
                <w:shd w:val="clear" w:color="auto" w:fill="auto"/>
              </w:tcPr>
              <w:p w14:paraId="1BA0E2AB" w14:textId="77777777" w:rsidR="00A80B03" w:rsidRPr="000724CB" w:rsidRDefault="00A80B03" w:rsidP="0047660A">
                <w:pPr>
                  <w:pStyle w:val="Header-Right"/>
                  <w:spacing w:line="276" w:lineRule="auto"/>
                  <w:jc w:val="left"/>
                  <w:rPr>
                    <w:color w:val="595959"/>
                    <w:sz w:val="14"/>
                    <w:szCs w:val="14"/>
                  </w:rPr>
                </w:pPr>
              </w:p>
            </w:tc>
            <w:tc>
              <w:tcPr>
                <w:tcW w:w="0" w:type="auto"/>
              </w:tcPr>
              <w:p w14:paraId="0624874D" w14:textId="77777777" w:rsidR="00A80B03" w:rsidRPr="000724CB" w:rsidRDefault="00A80B03" w:rsidP="0047660A">
                <w:pPr>
                  <w:pStyle w:val="Contact"/>
                  <w:rPr>
                    <w:color w:val="595959"/>
                  </w:rPr>
                </w:pPr>
                <w:r w:rsidRPr="000724CB">
                  <w:rPr>
                    <w:color w:val="595959"/>
                  </w:rPr>
                  <w:t>1327 E. Kemper Rd.</w:t>
                </w:r>
              </w:p>
              <w:p w14:paraId="42674BE5" w14:textId="77777777" w:rsidR="00A80B03" w:rsidRPr="000724CB" w:rsidRDefault="00A80B03" w:rsidP="0047660A">
                <w:pPr>
                  <w:pStyle w:val="Contact"/>
                  <w:rPr>
                    <w:color w:val="595959"/>
                  </w:rPr>
                </w:pPr>
                <w:r w:rsidRPr="000724CB">
                  <w:rPr>
                    <w:color w:val="595959"/>
                  </w:rPr>
                  <w:t>Suite 3000</w:t>
                </w:r>
                <w:r w:rsidRPr="000724CB">
                  <w:rPr>
                    <w:color w:val="595959"/>
                  </w:rPr>
                  <w:br/>
                  <w:t>Cincinnati, OH 45246</w:t>
                </w:r>
                <w:r w:rsidRPr="000724CB">
                  <w:rPr>
                    <w:color w:val="595959"/>
                  </w:rPr>
                  <w:br/>
                  <w:t>Phone: 513.834.8780</w:t>
                </w:r>
                <w:r w:rsidRPr="000724CB">
                  <w:rPr>
                    <w:color w:val="595959"/>
                  </w:rPr>
                  <w:br/>
                  <w:t>Fax: 513.834.8779</w:t>
                </w:r>
              </w:p>
            </w:tc>
            <w:tc>
              <w:tcPr>
                <w:tcW w:w="0" w:type="auto"/>
              </w:tcPr>
              <w:p w14:paraId="0FD76F81" w14:textId="77777777" w:rsidR="00A80B03" w:rsidRPr="00A81E1D" w:rsidRDefault="00A80B03" w:rsidP="0047660A">
                <w:pPr>
                  <w:pStyle w:val="Header-Right"/>
                  <w:spacing w:line="276" w:lineRule="auto"/>
                  <w:jc w:val="left"/>
                  <w:rPr>
                    <w:sz w:val="14"/>
                    <w:szCs w:val="14"/>
                  </w:rPr>
                </w:pPr>
              </w:p>
            </w:tc>
          </w:tr>
        </w:tbl>
        <w:p w14:paraId="054AE72D" w14:textId="77777777" w:rsidR="00A80B03" w:rsidRDefault="00A80B03" w:rsidP="000724CB">
          <w:pPr>
            <w:pStyle w:val="NoSpacing"/>
          </w:pPr>
        </w:p>
      </w:tc>
    </w:tr>
  </w:tbl>
  <w:p w14:paraId="23B8812B" w14:textId="77777777" w:rsidR="00A80B03" w:rsidRDefault="00A80B03" w:rsidP="000724CB">
    <w:pPr>
      <w:pStyle w:val="NoSpacing"/>
    </w:pPr>
  </w:p>
  <w:p w14:paraId="78401294" w14:textId="77777777" w:rsidR="00A80B03" w:rsidRDefault="00A80B03" w:rsidP="000724CB">
    <w:pPr>
      <w:pStyle w:val="NoSpacing"/>
      <w:rPr>
        <w:sz w:val="16"/>
        <w:szCs w:val="16"/>
      </w:rPr>
    </w:pPr>
  </w:p>
  <w:p w14:paraId="4D15AE4D" w14:textId="77777777" w:rsidR="00A80B03" w:rsidRPr="000724CB" w:rsidRDefault="00A80B03" w:rsidP="000724CB">
    <w:pPr>
      <w:pStyle w:val="NoSpacing"/>
      <w:rPr>
        <w:sz w:val="16"/>
        <w:szCs w:val="16"/>
      </w:rPr>
    </w:pPr>
  </w:p>
  <w:p w14:paraId="53CCA799" w14:textId="77777777" w:rsidR="00A80B03" w:rsidRDefault="00A80B03" w:rsidP="0047660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16cid:durableId="834297567">
    <w:abstractNumId w:val="9"/>
  </w:num>
  <w:num w:numId="2" w16cid:durableId="247466168">
    <w:abstractNumId w:val="7"/>
  </w:num>
  <w:num w:numId="3" w16cid:durableId="1086000921">
    <w:abstractNumId w:val="6"/>
  </w:num>
  <w:num w:numId="4" w16cid:durableId="497812757">
    <w:abstractNumId w:val="5"/>
  </w:num>
  <w:num w:numId="5" w16cid:durableId="1302661904">
    <w:abstractNumId w:val="4"/>
  </w:num>
  <w:num w:numId="6" w16cid:durableId="322701014">
    <w:abstractNumId w:val="8"/>
  </w:num>
  <w:num w:numId="7" w16cid:durableId="1895504855">
    <w:abstractNumId w:val="3"/>
  </w:num>
  <w:num w:numId="8" w16cid:durableId="2034111464">
    <w:abstractNumId w:val="2"/>
  </w:num>
  <w:num w:numId="9" w16cid:durableId="391857625">
    <w:abstractNumId w:val="1"/>
  </w:num>
  <w:num w:numId="10" w16cid:durableId="148558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435F93"/>
    <w:rsid w:val="000235EE"/>
    <w:rsid w:val="000374B9"/>
    <w:rsid w:val="00042A77"/>
    <w:rsid w:val="000724CB"/>
    <w:rsid w:val="0008372E"/>
    <w:rsid w:val="0009427A"/>
    <w:rsid w:val="000A6AD3"/>
    <w:rsid w:val="000B16C3"/>
    <w:rsid w:val="000C149B"/>
    <w:rsid w:val="001416E0"/>
    <w:rsid w:val="001636D2"/>
    <w:rsid w:val="001701EE"/>
    <w:rsid w:val="001C3B09"/>
    <w:rsid w:val="001D0499"/>
    <w:rsid w:val="0020150D"/>
    <w:rsid w:val="002214D6"/>
    <w:rsid w:val="00232E0A"/>
    <w:rsid w:val="00240C93"/>
    <w:rsid w:val="002B2810"/>
    <w:rsid w:val="002C0C9C"/>
    <w:rsid w:val="002C5428"/>
    <w:rsid w:val="002D7CB7"/>
    <w:rsid w:val="003324C6"/>
    <w:rsid w:val="00385F9D"/>
    <w:rsid w:val="003C19E3"/>
    <w:rsid w:val="003E786D"/>
    <w:rsid w:val="004042D0"/>
    <w:rsid w:val="004106BA"/>
    <w:rsid w:val="00430D66"/>
    <w:rsid w:val="00431A33"/>
    <w:rsid w:val="00435F93"/>
    <w:rsid w:val="0047660A"/>
    <w:rsid w:val="004813E6"/>
    <w:rsid w:val="004A3DE1"/>
    <w:rsid w:val="004D20D4"/>
    <w:rsid w:val="00556938"/>
    <w:rsid w:val="00562796"/>
    <w:rsid w:val="005642B7"/>
    <w:rsid w:val="005A1E19"/>
    <w:rsid w:val="005B58AC"/>
    <w:rsid w:val="005C4041"/>
    <w:rsid w:val="005D74AA"/>
    <w:rsid w:val="005F14ED"/>
    <w:rsid w:val="006103D7"/>
    <w:rsid w:val="00672AD0"/>
    <w:rsid w:val="00682815"/>
    <w:rsid w:val="006E0FB0"/>
    <w:rsid w:val="006F2A84"/>
    <w:rsid w:val="007544C9"/>
    <w:rsid w:val="00783B59"/>
    <w:rsid w:val="00786ADC"/>
    <w:rsid w:val="00814962"/>
    <w:rsid w:val="008311C7"/>
    <w:rsid w:val="00845F37"/>
    <w:rsid w:val="00847966"/>
    <w:rsid w:val="0086608D"/>
    <w:rsid w:val="008703D2"/>
    <w:rsid w:val="008821D3"/>
    <w:rsid w:val="008C6024"/>
    <w:rsid w:val="008E5B58"/>
    <w:rsid w:val="00904914"/>
    <w:rsid w:val="00910AB1"/>
    <w:rsid w:val="00933F28"/>
    <w:rsid w:val="00973782"/>
    <w:rsid w:val="00975B53"/>
    <w:rsid w:val="009B007C"/>
    <w:rsid w:val="009B3A08"/>
    <w:rsid w:val="009D57CC"/>
    <w:rsid w:val="00A078F9"/>
    <w:rsid w:val="00A55940"/>
    <w:rsid w:val="00A80B03"/>
    <w:rsid w:val="00A81E1D"/>
    <w:rsid w:val="00A831D4"/>
    <w:rsid w:val="00AB3505"/>
    <w:rsid w:val="00AC27D3"/>
    <w:rsid w:val="00AD30C8"/>
    <w:rsid w:val="00B17DE6"/>
    <w:rsid w:val="00BA00AB"/>
    <w:rsid w:val="00BF06FE"/>
    <w:rsid w:val="00C1529E"/>
    <w:rsid w:val="00C15525"/>
    <w:rsid w:val="00C16CDA"/>
    <w:rsid w:val="00C43820"/>
    <w:rsid w:val="00C62FDA"/>
    <w:rsid w:val="00C74B9F"/>
    <w:rsid w:val="00C80841"/>
    <w:rsid w:val="00C924FA"/>
    <w:rsid w:val="00CA17DE"/>
    <w:rsid w:val="00CD2EAA"/>
    <w:rsid w:val="00CF07CC"/>
    <w:rsid w:val="00D4634C"/>
    <w:rsid w:val="00D63103"/>
    <w:rsid w:val="00DA5A34"/>
    <w:rsid w:val="00DF0B7A"/>
    <w:rsid w:val="00E22B06"/>
    <w:rsid w:val="00E4015D"/>
    <w:rsid w:val="00E614EC"/>
    <w:rsid w:val="00E666E1"/>
    <w:rsid w:val="00EB3941"/>
    <w:rsid w:val="00EE4112"/>
    <w:rsid w:val="00F33268"/>
    <w:rsid w:val="00F87A23"/>
    <w:rsid w:val="00F90024"/>
    <w:rsid w:val="00F97B96"/>
    <w:rsid w:val="00FA6C35"/>
    <w:rsid w:val="00FB0C34"/>
    <w:rsid w:val="00FC0EFA"/>
    <w:rsid w:val="00FD133A"/>
    <w:rsid w:val="00FD6035"/>
    <w:rsid w:val="00FD6398"/>
    <w:rsid w:val="00FE05C5"/>
    <w:rsid w:val="00FE2882"/>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BE0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3476B1"/>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29DD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29DD1"/>
    </w:rPr>
  </w:style>
  <w:style w:type="paragraph" w:styleId="Heading4">
    <w:name w:val="heading 4"/>
    <w:basedOn w:val="Normal"/>
    <w:next w:val="Normal"/>
    <w:link w:val="Heading4Char"/>
    <w:semiHidden/>
    <w:unhideWhenUsed/>
    <w:qFormat/>
    <w:rsid w:val="005C4041"/>
    <w:pPr>
      <w:keepNext/>
      <w:keepLines/>
      <w:spacing w:before="200"/>
      <w:outlineLvl w:val="3"/>
    </w:pPr>
    <w:rPr>
      <w:b/>
      <w:bCs/>
      <w:i/>
      <w:iCs/>
      <w:color w:val="629DD1"/>
    </w:rPr>
  </w:style>
  <w:style w:type="paragraph" w:styleId="Heading5">
    <w:name w:val="heading 5"/>
    <w:basedOn w:val="Normal"/>
    <w:next w:val="Normal"/>
    <w:link w:val="Heading5Char"/>
    <w:semiHidden/>
    <w:unhideWhenUsed/>
    <w:qFormat/>
    <w:rsid w:val="005C4041"/>
    <w:pPr>
      <w:keepNext/>
      <w:keepLines/>
      <w:spacing w:before="200"/>
      <w:outlineLvl w:val="4"/>
    </w:pPr>
    <w:rPr>
      <w:color w:val="224E76"/>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224E76"/>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29DD1"/>
      <w:sz w:val="14"/>
      <w:szCs w:val="14"/>
    </w:rPr>
  </w:style>
  <w:style w:type="paragraph" w:customStyle="1" w:styleId="Header-Left">
    <w:name w:val="Header-Left"/>
    <w:basedOn w:val="Normal"/>
    <w:rsid w:val="005C4041"/>
    <w:pPr>
      <w:spacing w:after="200"/>
      <w:ind w:left="43"/>
    </w:pPr>
    <w:rPr>
      <w:color w:val="629DD1"/>
      <w:sz w:val="48"/>
    </w:rPr>
  </w:style>
  <w:style w:type="paragraph" w:customStyle="1" w:styleId="Header-Right">
    <w:name w:val="Header-Right"/>
    <w:basedOn w:val="Normal"/>
    <w:rsid w:val="005C4041"/>
    <w:pPr>
      <w:spacing w:after="200"/>
      <w:ind w:right="43"/>
      <w:jc w:val="right"/>
    </w:pPr>
    <w:rPr>
      <w:color w:val="629DD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A0C3E3"/>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29DD1" w:shadow="1"/>
        <w:left w:val="single" w:sz="2" w:space="10" w:color="629DD1" w:shadow="1"/>
        <w:bottom w:val="single" w:sz="2" w:space="10" w:color="629DD1" w:shadow="1"/>
        <w:right w:val="single" w:sz="2" w:space="10" w:color="629DD1" w:shadow="1"/>
      </w:pBdr>
      <w:ind w:left="1152" w:right="1152"/>
    </w:pPr>
    <w:rPr>
      <w:i/>
      <w:iCs/>
      <w:color w:val="629DD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29DD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Arial" w:eastAsia="MS PGothic" w:hAnsi="Arial" w:cs="Times New Roman"/>
      <w:b/>
      <w:bCs/>
      <w:color w:val="3476B1"/>
      <w:sz w:val="28"/>
      <w:szCs w:val="28"/>
    </w:rPr>
  </w:style>
  <w:style w:type="character" w:customStyle="1" w:styleId="Heading2Char">
    <w:name w:val="Heading 2 Char"/>
    <w:link w:val="Heading2"/>
    <w:semiHidden/>
    <w:rsid w:val="005C4041"/>
    <w:rPr>
      <w:rFonts w:ascii="Arial" w:eastAsia="MS PGothic" w:hAnsi="Arial" w:cs="Times New Roman"/>
      <w:b/>
      <w:bCs/>
      <w:color w:val="629DD1"/>
      <w:sz w:val="26"/>
      <w:szCs w:val="26"/>
    </w:rPr>
  </w:style>
  <w:style w:type="character" w:customStyle="1" w:styleId="Heading3Char">
    <w:name w:val="Heading 3 Char"/>
    <w:link w:val="Heading3"/>
    <w:semiHidden/>
    <w:rsid w:val="005C4041"/>
    <w:rPr>
      <w:rFonts w:ascii="Arial" w:eastAsia="MS PGothic" w:hAnsi="Arial" w:cs="Times New Roman"/>
      <w:b/>
      <w:bCs/>
      <w:color w:val="629DD1"/>
      <w:sz w:val="18"/>
    </w:rPr>
  </w:style>
  <w:style w:type="character" w:customStyle="1" w:styleId="Heading4Char">
    <w:name w:val="Heading 4 Char"/>
    <w:link w:val="Heading4"/>
    <w:semiHidden/>
    <w:rsid w:val="005C4041"/>
    <w:rPr>
      <w:rFonts w:ascii="Arial" w:eastAsia="MS PGothic" w:hAnsi="Arial" w:cs="Times New Roman"/>
      <w:b/>
      <w:bCs/>
      <w:i/>
      <w:iCs/>
      <w:color w:val="629DD1"/>
      <w:sz w:val="18"/>
    </w:rPr>
  </w:style>
  <w:style w:type="character" w:customStyle="1" w:styleId="Heading5Char">
    <w:name w:val="Heading 5 Char"/>
    <w:link w:val="Heading5"/>
    <w:semiHidden/>
    <w:rsid w:val="005C4041"/>
    <w:rPr>
      <w:rFonts w:ascii="Arial" w:eastAsia="MS PGothic" w:hAnsi="Arial" w:cs="Times New Roman"/>
      <w:color w:val="224E76"/>
      <w:sz w:val="18"/>
    </w:rPr>
  </w:style>
  <w:style w:type="character" w:customStyle="1" w:styleId="Heading6Char">
    <w:name w:val="Heading 6 Char"/>
    <w:link w:val="Heading6"/>
    <w:semiHidden/>
    <w:rsid w:val="005C4041"/>
    <w:rPr>
      <w:rFonts w:ascii="Arial" w:eastAsia="MS PGothic" w:hAnsi="Arial" w:cs="Times New Roman"/>
      <w:i/>
      <w:iCs/>
      <w:color w:val="224E76"/>
      <w:sz w:val="18"/>
    </w:rPr>
  </w:style>
  <w:style w:type="character" w:customStyle="1" w:styleId="Heading7Char">
    <w:name w:val="Heading 7 Char"/>
    <w:link w:val="Heading7"/>
    <w:semiHidden/>
    <w:rsid w:val="005C4041"/>
    <w:rPr>
      <w:rFonts w:ascii="Arial" w:eastAsia="MS PGothic" w:hAnsi="Arial" w:cs="Times New Roman"/>
      <w:i/>
      <w:iCs/>
      <w:color w:val="404040"/>
      <w:sz w:val="18"/>
    </w:rPr>
  </w:style>
  <w:style w:type="character" w:customStyle="1" w:styleId="Heading8Char">
    <w:name w:val="Heading 8 Char"/>
    <w:link w:val="Heading8"/>
    <w:semiHidden/>
    <w:rsid w:val="005C4041"/>
    <w:rPr>
      <w:rFonts w:ascii="Arial" w:eastAsia="MS PGothic" w:hAnsi="Arial" w:cs="Times New Roman"/>
      <w:color w:val="404040"/>
      <w:sz w:val="20"/>
      <w:szCs w:val="20"/>
    </w:rPr>
  </w:style>
  <w:style w:type="character" w:customStyle="1" w:styleId="Heading9Char">
    <w:name w:val="Heading 9 Char"/>
    <w:link w:val="Heading9"/>
    <w:semiHidden/>
    <w:rsid w:val="005C4041"/>
    <w:rPr>
      <w:rFonts w:ascii="Arial" w:eastAsia="MS PGothic" w:hAnsi="Arial"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29DD1"/>
      </w:pBdr>
      <w:spacing w:before="200" w:after="280"/>
      <w:ind w:left="936" w:right="936"/>
    </w:pPr>
    <w:rPr>
      <w:b/>
      <w:bCs/>
      <w:i/>
      <w:iCs/>
      <w:color w:val="629DD1"/>
    </w:rPr>
  </w:style>
  <w:style w:type="character" w:customStyle="1" w:styleId="IntenseQuoteChar">
    <w:name w:val="Intense Quote Char"/>
    <w:link w:val="IntenseQuote"/>
    <w:rsid w:val="005C4041"/>
    <w:rPr>
      <w:b/>
      <w:bCs/>
      <w:i/>
      <w:iCs/>
      <w:color w:val="629DD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Arial" w:eastAsia="MS PGothic" w:hAnsi="Arial"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29DD1"/>
      <w:spacing w:val="15"/>
      <w:sz w:val="24"/>
      <w:szCs w:val="24"/>
    </w:rPr>
  </w:style>
  <w:style w:type="character" w:customStyle="1" w:styleId="SubtitleChar">
    <w:name w:val="Subtitle Char"/>
    <w:link w:val="Subtitle"/>
    <w:rsid w:val="005C4041"/>
    <w:rPr>
      <w:rFonts w:ascii="Arial" w:eastAsia="MS PGothic" w:hAnsi="Arial" w:cs="Times New Roman"/>
      <w:i/>
      <w:iCs/>
      <w:color w:val="629DD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29DD1"/>
      </w:pBdr>
      <w:spacing w:after="300"/>
      <w:contextualSpacing/>
    </w:pPr>
    <w:rPr>
      <w:color w:val="1B1D3D"/>
      <w:spacing w:val="5"/>
      <w:kern w:val="28"/>
      <w:sz w:val="52"/>
      <w:szCs w:val="52"/>
    </w:rPr>
  </w:style>
  <w:style w:type="character" w:customStyle="1" w:styleId="TitleChar">
    <w:name w:val="Title Char"/>
    <w:link w:val="Title"/>
    <w:rsid w:val="005C4041"/>
    <w:rPr>
      <w:rFonts w:ascii="Arial" w:eastAsia="MS PGothic" w:hAnsi="Arial" w:cs="Times New Roman"/>
      <w:color w:val="1B1D3D"/>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table" w:styleId="TableGrid">
    <w:name w:val="Table Grid"/>
    <w:basedOn w:val="TableNormal"/>
    <w:uiPriority w:val="59"/>
    <w:rsid w:val="00A81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427A"/>
    <w:rPr>
      <w:color w:val="9454C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7907">
      <w:bodyDiv w:val="1"/>
      <w:marLeft w:val="0"/>
      <w:marRight w:val="0"/>
      <w:marTop w:val="0"/>
      <w:marBottom w:val="0"/>
      <w:divBdr>
        <w:top w:val="none" w:sz="0" w:space="0" w:color="auto"/>
        <w:left w:val="none" w:sz="0" w:space="0" w:color="auto"/>
        <w:bottom w:val="none" w:sz="0" w:space="0" w:color="auto"/>
        <w:right w:val="none" w:sz="0" w:space="0" w:color="auto"/>
      </w:divBdr>
    </w:div>
    <w:div w:id="337317279">
      <w:bodyDiv w:val="1"/>
      <w:marLeft w:val="0"/>
      <w:marRight w:val="0"/>
      <w:marTop w:val="0"/>
      <w:marBottom w:val="0"/>
      <w:divBdr>
        <w:top w:val="none" w:sz="0" w:space="0" w:color="auto"/>
        <w:left w:val="none" w:sz="0" w:space="0" w:color="auto"/>
        <w:bottom w:val="none" w:sz="0" w:space="0" w:color="auto"/>
        <w:right w:val="none" w:sz="0" w:space="0" w:color="auto"/>
      </w:divBdr>
    </w:div>
    <w:div w:id="821771412">
      <w:bodyDiv w:val="1"/>
      <w:marLeft w:val="0"/>
      <w:marRight w:val="0"/>
      <w:marTop w:val="0"/>
      <w:marBottom w:val="0"/>
      <w:divBdr>
        <w:top w:val="none" w:sz="0" w:space="0" w:color="auto"/>
        <w:left w:val="none" w:sz="0" w:space="0" w:color="auto"/>
        <w:bottom w:val="none" w:sz="0" w:space="0" w:color="auto"/>
        <w:right w:val="none" w:sz="0" w:space="0" w:color="auto"/>
      </w:divBdr>
    </w:div>
    <w:div w:id="834423006">
      <w:bodyDiv w:val="1"/>
      <w:marLeft w:val="0"/>
      <w:marRight w:val="0"/>
      <w:marTop w:val="0"/>
      <w:marBottom w:val="0"/>
      <w:divBdr>
        <w:top w:val="none" w:sz="0" w:space="0" w:color="auto"/>
        <w:left w:val="none" w:sz="0" w:space="0" w:color="auto"/>
        <w:bottom w:val="none" w:sz="0" w:space="0" w:color="auto"/>
        <w:right w:val="none" w:sz="0" w:space="0" w:color="auto"/>
      </w:divBdr>
    </w:div>
    <w:div w:id="912854331">
      <w:bodyDiv w:val="1"/>
      <w:marLeft w:val="0"/>
      <w:marRight w:val="0"/>
      <w:marTop w:val="0"/>
      <w:marBottom w:val="0"/>
      <w:divBdr>
        <w:top w:val="none" w:sz="0" w:space="0" w:color="auto"/>
        <w:left w:val="none" w:sz="0" w:space="0" w:color="auto"/>
        <w:bottom w:val="none" w:sz="0" w:space="0" w:color="auto"/>
        <w:right w:val="none" w:sz="0" w:space="0" w:color="auto"/>
      </w:divBdr>
    </w:div>
    <w:div w:id="970330039">
      <w:bodyDiv w:val="1"/>
      <w:marLeft w:val="0"/>
      <w:marRight w:val="0"/>
      <w:marTop w:val="0"/>
      <w:marBottom w:val="0"/>
      <w:divBdr>
        <w:top w:val="none" w:sz="0" w:space="0" w:color="auto"/>
        <w:left w:val="none" w:sz="0" w:space="0" w:color="auto"/>
        <w:bottom w:val="none" w:sz="0" w:space="0" w:color="auto"/>
        <w:right w:val="none" w:sz="0" w:space="0" w:color="auto"/>
      </w:divBdr>
    </w:div>
    <w:div w:id="990870868">
      <w:bodyDiv w:val="1"/>
      <w:marLeft w:val="0"/>
      <w:marRight w:val="0"/>
      <w:marTop w:val="0"/>
      <w:marBottom w:val="0"/>
      <w:divBdr>
        <w:top w:val="none" w:sz="0" w:space="0" w:color="auto"/>
        <w:left w:val="none" w:sz="0" w:space="0" w:color="auto"/>
        <w:bottom w:val="none" w:sz="0" w:space="0" w:color="auto"/>
        <w:right w:val="none" w:sz="0" w:space="0" w:color="auto"/>
      </w:divBdr>
    </w:div>
    <w:div w:id="1017076204">
      <w:bodyDiv w:val="1"/>
      <w:marLeft w:val="0"/>
      <w:marRight w:val="0"/>
      <w:marTop w:val="0"/>
      <w:marBottom w:val="0"/>
      <w:divBdr>
        <w:top w:val="none" w:sz="0" w:space="0" w:color="auto"/>
        <w:left w:val="none" w:sz="0" w:space="0" w:color="auto"/>
        <w:bottom w:val="none" w:sz="0" w:space="0" w:color="auto"/>
        <w:right w:val="none" w:sz="0" w:space="0" w:color="auto"/>
      </w:divBdr>
    </w:div>
    <w:div w:id="1390306909">
      <w:bodyDiv w:val="1"/>
      <w:marLeft w:val="0"/>
      <w:marRight w:val="0"/>
      <w:marTop w:val="0"/>
      <w:marBottom w:val="0"/>
      <w:divBdr>
        <w:top w:val="none" w:sz="0" w:space="0" w:color="auto"/>
        <w:left w:val="none" w:sz="0" w:space="0" w:color="auto"/>
        <w:bottom w:val="none" w:sz="0" w:space="0" w:color="auto"/>
        <w:right w:val="none" w:sz="0" w:space="0" w:color="auto"/>
      </w:divBdr>
      <w:divsChild>
        <w:div w:id="1936748140">
          <w:marLeft w:val="0"/>
          <w:marRight w:val="0"/>
          <w:marTop w:val="0"/>
          <w:marBottom w:val="0"/>
          <w:divBdr>
            <w:top w:val="none" w:sz="0" w:space="0" w:color="auto"/>
            <w:left w:val="none" w:sz="0" w:space="0" w:color="auto"/>
            <w:bottom w:val="none" w:sz="0" w:space="0" w:color="auto"/>
            <w:right w:val="none" w:sz="0" w:space="0" w:color="auto"/>
          </w:divBdr>
        </w:div>
      </w:divsChild>
    </w:div>
    <w:div w:id="1453283108">
      <w:bodyDiv w:val="1"/>
      <w:marLeft w:val="0"/>
      <w:marRight w:val="0"/>
      <w:marTop w:val="0"/>
      <w:marBottom w:val="0"/>
      <w:divBdr>
        <w:top w:val="none" w:sz="0" w:space="0" w:color="auto"/>
        <w:left w:val="none" w:sz="0" w:space="0" w:color="auto"/>
        <w:bottom w:val="none" w:sz="0" w:space="0" w:color="auto"/>
        <w:right w:val="none" w:sz="0" w:space="0" w:color="auto"/>
      </w:divBdr>
    </w:div>
    <w:div w:id="1542207251">
      <w:bodyDiv w:val="1"/>
      <w:marLeft w:val="0"/>
      <w:marRight w:val="0"/>
      <w:marTop w:val="0"/>
      <w:marBottom w:val="0"/>
      <w:divBdr>
        <w:top w:val="none" w:sz="0" w:space="0" w:color="auto"/>
        <w:left w:val="none" w:sz="0" w:space="0" w:color="auto"/>
        <w:bottom w:val="none" w:sz="0" w:space="0" w:color="auto"/>
        <w:right w:val="none" w:sz="0" w:space="0" w:color="auto"/>
      </w:divBdr>
    </w:div>
    <w:div w:id="1618877569">
      <w:bodyDiv w:val="1"/>
      <w:marLeft w:val="0"/>
      <w:marRight w:val="0"/>
      <w:marTop w:val="0"/>
      <w:marBottom w:val="0"/>
      <w:divBdr>
        <w:top w:val="none" w:sz="0" w:space="0" w:color="auto"/>
        <w:left w:val="none" w:sz="0" w:space="0" w:color="auto"/>
        <w:bottom w:val="none" w:sz="0" w:space="0" w:color="auto"/>
        <w:right w:val="none" w:sz="0" w:space="0" w:color="auto"/>
      </w:divBdr>
    </w:div>
    <w:div w:id="1708793462">
      <w:bodyDiv w:val="1"/>
      <w:marLeft w:val="0"/>
      <w:marRight w:val="0"/>
      <w:marTop w:val="0"/>
      <w:marBottom w:val="0"/>
      <w:divBdr>
        <w:top w:val="none" w:sz="0" w:space="0" w:color="auto"/>
        <w:left w:val="none" w:sz="0" w:space="0" w:color="auto"/>
        <w:bottom w:val="none" w:sz="0" w:space="0" w:color="auto"/>
        <w:right w:val="none" w:sz="0" w:space="0" w:color="auto"/>
      </w:divBdr>
    </w:div>
    <w:div w:id="1718698846">
      <w:bodyDiv w:val="1"/>
      <w:marLeft w:val="0"/>
      <w:marRight w:val="0"/>
      <w:marTop w:val="0"/>
      <w:marBottom w:val="0"/>
      <w:divBdr>
        <w:top w:val="none" w:sz="0" w:space="0" w:color="auto"/>
        <w:left w:val="none" w:sz="0" w:space="0" w:color="auto"/>
        <w:bottom w:val="none" w:sz="0" w:space="0" w:color="auto"/>
        <w:right w:val="none" w:sz="0" w:space="0" w:color="auto"/>
      </w:divBdr>
    </w:div>
    <w:div w:id="1930380390">
      <w:bodyDiv w:val="1"/>
      <w:marLeft w:val="0"/>
      <w:marRight w:val="0"/>
      <w:marTop w:val="0"/>
      <w:marBottom w:val="0"/>
      <w:divBdr>
        <w:top w:val="none" w:sz="0" w:space="0" w:color="auto"/>
        <w:left w:val="none" w:sz="0" w:space="0" w:color="auto"/>
        <w:bottom w:val="none" w:sz="0" w:space="0" w:color="auto"/>
        <w:right w:val="none" w:sz="0" w:space="0" w:color="auto"/>
      </w:divBdr>
      <w:divsChild>
        <w:div w:id="1986279828">
          <w:marLeft w:val="0"/>
          <w:marRight w:val="0"/>
          <w:marTop w:val="0"/>
          <w:marBottom w:val="0"/>
          <w:divBdr>
            <w:top w:val="none" w:sz="0" w:space="0" w:color="auto"/>
            <w:left w:val="none" w:sz="0" w:space="0" w:color="auto"/>
            <w:bottom w:val="none" w:sz="0" w:space="0" w:color="auto"/>
            <w:right w:val="none" w:sz="0" w:space="0" w:color="auto"/>
          </w:divBdr>
        </w:div>
      </w:divsChild>
    </w:div>
    <w:div w:id="1969168279">
      <w:bodyDiv w:val="1"/>
      <w:marLeft w:val="0"/>
      <w:marRight w:val="0"/>
      <w:marTop w:val="0"/>
      <w:marBottom w:val="0"/>
      <w:divBdr>
        <w:top w:val="none" w:sz="0" w:space="0" w:color="auto"/>
        <w:left w:val="none" w:sz="0" w:space="0" w:color="auto"/>
        <w:bottom w:val="none" w:sz="0" w:space="0" w:color="auto"/>
        <w:right w:val="none" w:sz="0" w:space="0" w:color="auto"/>
      </w:divBdr>
    </w:div>
    <w:div w:id="1993018048">
      <w:bodyDiv w:val="1"/>
      <w:marLeft w:val="0"/>
      <w:marRight w:val="0"/>
      <w:marTop w:val="0"/>
      <w:marBottom w:val="0"/>
      <w:divBdr>
        <w:top w:val="none" w:sz="0" w:space="0" w:color="auto"/>
        <w:left w:val="none" w:sz="0" w:space="0" w:color="auto"/>
        <w:bottom w:val="none" w:sz="0" w:space="0" w:color="auto"/>
        <w:right w:val="none" w:sz="0" w:space="0" w:color="auto"/>
      </w:divBdr>
    </w:div>
    <w:div w:id="2080442823">
      <w:bodyDiv w:val="1"/>
      <w:marLeft w:val="0"/>
      <w:marRight w:val="0"/>
      <w:marTop w:val="0"/>
      <w:marBottom w:val="0"/>
      <w:divBdr>
        <w:top w:val="none" w:sz="0" w:space="0" w:color="auto"/>
        <w:left w:val="none" w:sz="0" w:space="0" w:color="auto"/>
        <w:bottom w:val="none" w:sz="0" w:space="0" w:color="auto"/>
        <w:right w:val="none" w:sz="0" w:space="0" w:color="auto"/>
      </w:divBdr>
    </w:div>
    <w:div w:id="20844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4B0A-8EE2-0E4F-8DEB-E2C7E7DC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1001</Words>
  <Characters>5929</Characters>
  <Application>Microsoft Office Word</Application>
  <DocSecurity>0</DocSecurity>
  <Lines>133</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6894</CharactersWithSpaces>
  <SharedDoc>false</SharedDoc>
  <HyperlinkBase/>
  <HLinks>
    <vt:vector size="30" baseType="variant">
      <vt:variant>
        <vt:i4>4980823</vt:i4>
      </vt:variant>
      <vt:variant>
        <vt:i4>0</vt:i4>
      </vt:variant>
      <vt:variant>
        <vt:i4>0</vt:i4>
      </vt:variant>
      <vt:variant>
        <vt:i4>5</vt:i4>
      </vt:variant>
      <vt:variant>
        <vt:lpwstr>https://support.collegesource.com/TES/Support/03_Import_Specifications</vt:lpwstr>
      </vt:variant>
      <vt:variant>
        <vt:lpwstr/>
      </vt:variant>
      <vt:variant>
        <vt:i4>3866662</vt:i4>
      </vt:variant>
      <vt:variant>
        <vt:i4>7909</vt:i4>
      </vt:variant>
      <vt:variant>
        <vt:i4>1027</vt:i4>
      </vt:variant>
      <vt:variant>
        <vt:i4>1</vt:i4>
      </vt:variant>
      <vt:variant>
        <vt:lpwstr>Logo-CollegeSource-2-Small</vt:lpwstr>
      </vt:variant>
      <vt:variant>
        <vt:lpwstr/>
      </vt:variant>
      <vt:variant>
        <vt:i4>4456449</vt:i4>
      </vt:variant>
      <vt:variant>
        <vt:i4>8102</vt:i4>
      </vt:variant>
      <vt:variant>
        <vt:i4>1026</vt:i4>
      </vt:variant>
      <vt:variant>
        <vt:i4>1</vt:i4>
      </vt:variant>
      <vt:variant>
        <vt:lpwstr>Default Line</vt:lpwstr>
      </vt:variant>
      <vt:variant>
        <vt:lpwstr/>
      </vt:variant>
      <vt:variant>
        <vt:i4>3866662</vt:i4>
      </vt:variant>
      <vt:variant>
        <vt:i4>8126</vt:i4>
      </vt:variant>
      <vt:variant>
        <vt:i4>1028</vt:i4>
      </vt:variant>
      <vt:variant>
        <vt:i4>1</vt:i4>
      </vt:variant>
      <vt:variant>
        <vt:lpwstr>Logo-CollegeSource-2-Small</vt:lpwstr>
      </vt:variant>
      <vt:variant>
        <vt:lpwstr/>
      </vt:variant>
      <vt:variant>
        <vt:i4>4456449</vt:i4>
      </vt:variant>
      <vt:variant>
        <vt:i4>8320</vt:i4>
      </vt:variant>
      <vt:variant>
        <vt:i4>1025</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Fenton</dc:creator>
  <cp:keywords/>
  <dc:description/>
  <cp:lastModifiedBy>Jennifer Wright</cp:lastModifiedBy>
  <cp:revision>2</cp:revision>
  <cp:lastPrinted>2011-03-23T17:57:00Z</cp:lastPrinted>
  <dcterms:created xsi:type="dcterms:W3CDTF">2024-03-26T20:11:00Z</dcterms:created>
  <dcterms:modified xsi:type="dcterms:W3CDTF">2024-03-26T20:11:00Z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f1b954f4fb01f82ff63d941cab4659d6cc854dc34d9740ef60deba5f54b943e1</vt:lpwstr>
  </property>
</Properties>
</file>